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AI Suitability Evaluation for Modelica Physical Models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evaluation of open weight and closed source large language models, honest benchmarking of alternative models on real data, and end to end machine learning delivery. I have shipped a modular Retrieval Augmented Generation system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with a custom decision making router, a fairness by design credit scoring system with SHAP driven subgroup analysis and full regulatory documentation, and a recursive time series pipeline at eRay GmbH benchmarking six models head to head with strict anti leakage rules. Proficient in Python and comfortable with LLM APIs, prompt engineering, and structured evaluation harnesses, I am the right fit for the Master Thesis on AI Suitability Evaluation for Modelica Physical Models at Airbus Hamburg.</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For a personal RAG project that needed to answer from local PDFs, live web, and small talk without a hardcoded path, tasked with building the router, delivered a modular Retrieval Augmented Generation system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 with a custom decision making router that classifies user intent into three execution paths, local knowledge retrieval, external web search, or direct conversational logic, and returns clean end to end responses on all three routes.</w:t>
            </w:r>
          </w:p>
          <w:p>
            <w:pPr>
              <w:spacing w:before="0" w:after="0" w:line="264" w:lineRule="auto"/>
              <w:ind w:left="170"/>
              <w:jc w:val="both"/>
            </w:pPr>
            <w:r>
              <w:rPr>
                <w:b/>
                <w:color w:val="B8663F"/>
                <w:sz w:val="21"/>
              </w:rPr>
              <w:t xml:space="preserve">• </w:t>
            </w:r>
            <w:r>
              <w:rPr>
                <w:b w:val="0"/>
                <w:color w:val="1F2937"/>
                <w:sz w:val="21"/>
              </w:rPr>
              <w:t>With document knowledge needing to persist across sessions rather than being reloaded each run, tasked with adding a durable semantic memory, built a ChromaDB store with local persistence and HuggingFace MiniLM L6 v2 embeddings over the PDF and vector data, which returned consistent retrieval on cross session queries.</w:t>
            </w:r>
          </w:p>
          <w:p>
            <w:pPr>
              <w:spacing w:before="0" w:after="0" w:line="264" w:lineRule="auto"/>
              <w:ind w:left="170"/>
              <w:jc w:val="both"/>
            </w:pPr>
            <w:r>
              <w:rPr>
                <w:b/>
                <w:color w:val="B8663F"/>
                <w:sz w:val="21"/>
              </w:rPr>
              <w:t xml:space="preserve">• </w:t>
            </w:r>
            <w:r>
              <w:rPr>
                <w:b w:val="0"/>
                <w:color w:val="1F2937"/>
                <w:sz w:val="21"/>
              </w:rPr>
              <w:t>Because single shot responses were breaking follow up questions in testing, tasked with keeping multi turn context intact for the LLM, added a stateful MemoryAgent directly into the inference pipeline, which produced coherent follow up answers rather than isolated single shot responses.</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