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Working Student, Machine Learning</w:t>
      </w:r>
    </w:p>
    <w:p>
      <w:pPr>
        <w:keepNext/>
        <w:spacing w:before="20" w:after="0"/>
        <w:pBdr>
          <w:bottom w:val="single" w:sz="6" w:space="1" w:color="B7C0CE"/>
        </w:pBdr>
      </w:pPr>
      <w:r>
        <w:rPr>
          <w:b/>
          <w:color w:val="1F3A5F"/>
          <w:sz w:val="21"/>
        </w:rPr>
        <w:t>P E R S O N A L   D E T A I L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Address</w:t>
            </w:r>
          </w:p>
        </w:tc>
        <w:tc>
          <w:tcPr>
            <w:tcW w:type="dxa" w:w="7937"/>
            <w:tcMar>
              <w:top w:w="0" w:type="dxa"/>
              <w:left w:w="0" w:type="dxa"/>
              <w:bottom w:w="0" w:type="dxa"/>
              <w:right w:w="0" w:type="dxa"/>
            </w:tcMar>
          </w:tcPr>
          <w:p>
            <w:pPr>
              <w:spacing w:before="0" w:after="0"/>
            </w:pPr>
            <w:r>
              <w:rPr>
                <w:color w:val="1F2937"/>
                <w:sz w:val="21"/>
              </w:rPr>
              <w:t>C2 16, 68159 Mannheim, Germany</w:t>
            </w:r>
          </w:p>
        </w:tc>
      </w:tr>
      <w:tr>
        <w:tc>
          <w:tcPr>
            <w:tcW w:type="dxa" w:w="1814"/>
            <w:tcMar>
              <w:top w:w="0" w:type="dxa"/>
              <w:left w:w="0" w:type="dxa"/>
              <w:bottom w:w="0" w:type="dxa"/>
              <w:right w:w="0" w:type="dxa"/>
            </w:tcMar>
          </w:tcPr>
          <w:p>
            <w:pPr>
              <w:spacing w:before="0" w:after="0"/>
            </w:pPr>
            <w:r>
              <w:rPr>
                <w:b/>
                <w:color w:val="1F3A5F"/>
                <w:sz w:val="21"/>
              </w:rPr>
              <w:t>Phone</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Date of birth</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Nationality</w:t>
            </w:r>
          </w:p>
        </w:tc>
        <w:tc>
          <w:tcPr>
            <w:tcW w:type="dxa" w:w="7937"/>
            <w:tcMar>
              <w:top w:w="0" w:type="dxa"/>
              <w:left w:w="0" w:type="dxa"/>
              <w:bottom w:w="0" w:type="dxa"/>
              <w:right w:w="0" w:type="dxa"/>
            </w:tcMar>
          </w:tcPr>
          <w:p>
            <w:pPr>
              <w:spacing w:before="0" w:after="0"/>
            </w:pPr>
            <w:r>
              <w:rPr>
                <w:color w:val="1F2937"/>
                <w:sz w:val="21"/>
              </w:rPr>
              <w:t>Indian, student visa with valid work permit</w:t>
            </w:r>
          </w:p>
        </w:tc>
      </w:tr>
      <w:tr>
        <w:tc>
          <w:tcPr>
            <w:tcW w:type="dxa" w:w="1814"/>
            <w:tcMar>
              <w:top w:w="0" w:type="dxa"/>
              <w:left w:w="0" w:type="dxa"/>
              <w:bottom w:w="0" w:type="dxa"/>
              <w:right w:w="0" w:type="dxa"/>
            </w:tcMar>
          </w:tcPr>
          <w:p>
            <w:pPr>
              <w:spacing w:before="0" w:after="0"/>
            </w:pPr>
            <w:r>
              <w:rPr>
                <w:b/>
                <w:color w:val="1F3A5F"/>
                <w:sz w:val="21"/>
              </w:rPr>
              <w:t>Availability</w:t>
            </w:r>
          </w:p>
        </w:tc>
        <w:tc>
          <w:tcPr>
            <w:tcW w:type="dxa" w:w="7937"/>
            <w:tcMar>
              <w:top w:w="0" w:type="dxa"/>
              <w:left w:w="0" w:type="dxa"/>
              <w:bottom w:w="0" w:type="dxa"/>
              <w:right w:w="0" w:type="dxa"/>
            </w:tcMar>
          </w:tcPr>
          <w:p>
            <w:pPr>
              <w:spacing w:before="0" w:after="0"/>
            </w:pPr>
            <w:r>
              <w:rPr>
                <w:color w:val="1F2937"/>
                <w:sz w:val="21"/>
              </w:rPr>
              <w:t>Werkstudent 20 hours per week immediately, full time from April 2027</w:t>
            </w:r>
          </w:p>
        </w:tc>
      </w:tr>
    </w:tbl>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Data Science and Analytics Master student at SRH Heidelberg based in Mannheim, with hands on machine learning integration into real clinical and operational data, honest evaluation on imbalanced datasets, and end to end delivery of intelligent systems. I have shipped a bachelor thesis comparing six classifiers on a real clinical dataset with </w:t>
      </w:r>
      <w:r>
        <w:rPr>
          <w:b/>
          <w:color w:val="1F3A5F"/>
          <w:sz w:val="21"/>
        </w:rPr>
        <w:t>10 fold</w:t>
      </w:r>
      <w:r>
        <w:rPr>
          <w:b w:val="0"/>
          <w:color w:val="1F2937"/>
          <w:sz w:val="21"/>
        </w:rPr>
        <w:t xml:space="preserve"> cross validation, catching biologically impossible values and choosing ROC AUC over accuracy on an imbalanced target, an end to end recursive time series pipeline at eRay GmbH benchmarking six models head to head with strict anti leakage rules, and a fairness by design classification system with SHAP driven subgroup analysis and </w:t>
      </w:r>
      <w:r>
        <w:rPr>
          <w:b/>
          <w:color w:val="1F3A5F"/>
          <w:sz w:val="21"/>
        </w:rPr>
        <w:t>100 percent</w:t>
      </w:r>
      <w:r>
        <w:rPr>
          <w:b w:val="0"/>
          <w:color w:val="1F2937"/>
          <w:sz w:val="21"/>
        </w:rPr>
        <w:t xml:space="preserve"> branch coverage unit tests. Proficient in Python, scikit learn, and modern ML frameworks, I am the right fit for a Working Student Machine Learning position supporting Avelios' mission to unlock clinical data for better patient care.</w:t>
      </w:r>
    </w:p>
    <w:p>
      <w:pPr>
        <w:keepNext/>
        <w:spacing w:before="20" w:after="0"/>
        <w:pBdr>
          <w:bottom w:val="single" w:sz="6" w:space="1" w:color="B7C0CE"/>
        </w:pBdr>
      </w:pPr>
      <w:r>
        <w:rPr>
          <w:b/>
          <w:color w:val="1F3A5F"/>
          <w:sz w:val="21"/>
        </w:rPr>
        <w:t>P R O F E S S I O N A L   E X P E R I E N C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Oct 2025 to Mar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During a six month eRay GmbH and SRH Heidelberg collaboration to forecast water quality on a German lake, tasked with covering four indicators over rolling horizons, built an end to end recursive time series pipeline for chlorophyll a, turbidity, pH, and dissolved oxygen, delivered as a production ready module the client can rerun on every new sensor drop.</w:t>
            </w:r>
          </w:p>
          <w:p>
            <w:pPr>
              <w:spacing w:before="0" w:after="0" w:line="264" w:lineRule="auto"/>
              <w:ind w:left="170"/>
              <w:jc w:val="both"/>
            </w:pPr>
            <w:r>
              <w:rPr>
                <w:b/>
                <w:color w:val="B8663F"/>
                <w:sz w:val="21"/>
              </w:rPr>
              <w:t xml:space="preserve">• </w:t>
            </w:r>
            <w:r>
              <w:rPr>
                <w:b w:val="0"/>
                <w:color w:val="1F2937"/>
                <w:sz w:val="21"/>
              </w:rPr>
              <w:t xml:space="preserve">Faced with model choice ambiguity for the forecasting task and the need to convey uncertainty to non technical stakeholders, benchmarked six candidates head to head, Ridge, Gradient Boosting, LightGBM, XGBoost, CatBoost, and Prophet, then landed on CatBoost multi quantile regression, which produced asymmetric </w:t>
            </w:r>
            <w:r>
              <w:rPr>
                <w:b/>
                <w:color w:val="1F3A5F"/>
                <w:sz w:val="21"/>
              </w:rPr>
              <w:t>80 percent</w:t>
            </w:r>
            <w:r>
              <w:rPr>
                <w:b w:val="0"/>
                <w:color w:val="1F2937"/>
                <w:sz w:val="21"/>
              </w:rPr>
              <w:t xml:space="preserve"> prediction intervals that gave the client decision support under uncertainty.</w:t>
            </w:r>
          </w:p>
          <w:p>
            <w:pPr>
              <w:spacing w:before="0" w:after="0" w:line="264" w:lineRule="auto"/>
              <w:ind w:left="170"/>
              <w:jc w:val="both"/>
            </w:pPr>
            <w:r>
              <w:rPr>
                <w:b/>
                <w:color w:val="B8663F"/>
                <w:sz w:val="21"/>
              </w:rPr>
              <w:t xml:space="preserve">• </w:t>
            </w:r>
            <w:r>
              <w:rPr>
                <w:b w:val="0"/>
                <w:color w:val="1F2937"/>
                <w:sz w:val="21"/>
              </w:rPr>
              <w:t>Concerned that naive time series splits would inflate accuracy, tasked with making the evaluation defensible, enforced strict anti leakage rules across the pipeline, which surfaced the honest finding that pH and dissolved oxygen are physically predictable while chlorophyll a and turbidity are not without live optical sensors.</w:t>
            </w:r>
          </w:p>
          <w:p>
            <w:pPr>
              <w:spacing w:before="0" w:after="0" w:line="264" w:lineRule="auto"/>
              <w:ind w:left="170"/>
              <w:jc w:val="both"/>
            </w:pPr>
            <w:r>
              <w:rPr>
                <w:b/>
                <w:color w:val="B8663F"/>
                <w:sz w:val="21"/>
              </w:rPr>
              <w:t xml:space="preserve">• </w:t>
            </w:r>
            <w:r>
              <w:rPr>
                <w:b w:val="0"/>
                <w:color w:val="1F2937"/>
                <w:sz w:val="21"/>
              </w:rPr>
              <w:t>With winter readings missing and tree based models flatlining during recursive prediction, needing realistic seasonal shape in the downstream forecasts, reconstructed missing values with MICE imputation and engineered a synthetic winter decay forecast canvas, which restored believable winter behaviour without introducing bias into the training window.</w:t>
            </w:r>
          </w:p>
          <w:p>
            <w:pPr>
              <w:spacing w:before="0" w:after="0" w:line="264" w:lineRule="auto"/>
              <w:ind w:left="170"/>
              <w:jc w:val="both"/>
            </w:pPr>
            <w:r>
              <w:rPr>
                <w:b/>
                <w:color w:val="B8663F"/>
                <w:sz w:val="21"/>
              </w:rPr>
              <w:t xml:space="preserve">• </w:t>
            </w:r>
            <w:r>
              <w:rPr>
                <w:b w:val="0"/>
                <w:color w:val="1F2937"/>
                <w:sz w:val="21"/>
              </w:rPr>
              <w:t>To prevent bad data cascading downstream through the recursive forecaster, tasked with hardening the run loop, wrapped the pipeline in an orchestrator with gate checks and velocity and ecological bounds, so a failed imputation now halts the run rather than corrupting weeks of downstream predictions.</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to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0" w:after="0" w:line="264" w:lineRule="auto"/>
              <w:ind w:left="170"/>
              <w:jc w:val="both"/>
            </w:pPr>
            <w:r>
              <w:rPr>
                <w:b/>
                <w:color w:val="B8663F"/>
                <w:sz w:val="21"/>
              </w:rPr>
              <w:t xml:space="preserve">• </w:t>
            </w:r>
            <w:r>
              <w:rPr>
                <w:b w:val="0"/>
                <w:color w:val="1F2937"/>
                <w:sz w:val="21"/>
              </w:rPr>
              <w:t xml:space="preserve">With a client relying on a legacy AngularJS app that had to sit inside an existing module federation setup alongside newer React micro frontends, tasked with porting the client's screens across without breaking the running product, ported around 8 routes from AngularJS to React inside the module federation shell over </w:t>
            </w:r>
            <w:r>
              <w:rPr>
                <w:b/>
                <w:color w:val="1F3A5F"/>
                <w:sz w:val="21"/>
              </w:rPr>
              <w:t>4 months</w:t>
            </w:r>
            <w:r>
              <w:rPr>
                <w:b w:val="0"/>
                <w:color w:val="1F2937"/>
                <w:sz w:val="21"/>
              </w:rPr>
              <w:t xml:space="preserve"> of incremental releases, shipped with no production incidents during rollout.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to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O N A L   P R O J E C T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 xml:space="preserve">For an SRH Heidelberg project on regulated credit scoring where a baseline model was failing the EU AI Act and AGG </w:t>
            </w:r>
            <w:r>
              <w:rPr>
                <w:b/>
                <w:color w:val="1F3A5F"/>
                <w:sz w:val="21"/>
              </w:rPr>
              <w:t>80 percent</w:t>
            </w:r>
            <w:r>
              <w:rPr>
                <w:b w:val="0"/>
                <w:color w:val="1F2937"/>
                <w:sz w:val="21"/>
              </w:rPr>
              <w:t xml:space="preserve"> fairness bar, tasked with getting it back into compliance without gutting predictive quality, applied AIF360 mitigation and threshold calibration on a real credit dataset, which raised the Disparate Impact ratio from a failing </w:t>
            </w:r>
            <w:r>
              <w:rPr>
                <w:b/>
                <w:color w:val="1F3A5F"/>
                <w:sz w:val="21"/>
              </w:rPr>
              <w:t>0.79</w:t>
            </w:r>
            <w:r>
              <w:rPr>
                <w:b w:val="0"/>
                <w:color w:val="1F2937"/>
                <w:sz w:val="21"/>
              </w:rPr>
              <w:t xml:space="preserve"> to a compliant </w:t>
            </w:r>
            <w:r>
              <w:rPr>
                <w:b/>
                <w:color w:val="1F3A5F"/>
                <w:sz w:val="21"/>
              </w:rPr>
              <w:t>0.88</w:t>
            </w:r>
            <w:r>
              <w:rPr>
                <w:b w:val="0"/>
                <w:color w:val="1F2937"/>
                <w:sz w:val="21"/>
              </w:rPr>
              <w:t>.</w:t>
            </w:r>
          </w:p>
          <w:p>
            <w:pPr>
              <w:spacing w:before="0" w:after="0" w:line="264" w:lineRule="auto"/>
              <w:ind w:left="170"/>
              <w:jc w:val="both"/>
            </w:pPr>
            <w:r>
              <w:rPr>
                <w:b/>
                <w:color w:val="B8663F"/>
                <w:sz w:val="21"/>
              </w:rPr>
              <w:t xml:space="preserve">• </w:t>
            </w:r>
            <w:r>
              <w:rPr>
                <w:b w:val="0"/>
                <w:color w:val="1F2937"/>
                <w:sz w:val="21"/>
              </w:rPr>
              <w:t>After single axis age bias was fixed but younger women were still being penalised, tasked with finding and correcting the hidden intersectional bias, used SHAP driven subgroup analysis to expose the pattern and designed a four way age by gender threshold matrix, which corrected it without over correcting into reverse discrimination.</w:t>
            </w:r>
          </w:p>
          <w:p>
            <w:pPr>
              <w:spacing w:before="0" w:after="0" w:line="264" w:lineRule="auto"/>
              <w:ind w:left="170"/>
              <w:jc w:val="both"/>
            </w:pPr>
            <w:r>
              <w:rPr>
                <w:b/>
                <w:color w:val="B8663F"/>
                <w:sz w:val="21"/>
              </w:rPr>
              <w:t xml:space="preserve">• </w:t>
            </w:r>
            <w:r>
              <w:rPr>
                <w:b w:val="0"/>
                <w:color w:val="1F2937"/>
                <w:sz w:val="21"/>
              </w:rPr>
              <w:t xml:space="preserve">With a large false negative rate silently rejecting good applicants, tasked with cutting it while keeping overall accuracy defensible, documented the fairness accuracy trade off as a deliberate and regulator defensible decision, which brought the false negative rate down from </w:t>
            </w:r>
            <w:r>
              <w:rPr>
                <w:b/>
                <w:color w:val="1F3A5F"/>
                <w:sz w:val="21"/>
              </w:rPr>
              <w:t>44 percent</w:t>
            </w:r>
            <w:r>
              <w:rPr>
                <w:b w:val="0"/>
                <w:color w:val="1F2937"/>
                <w:sz w:val="21"/>
              </w:rPr>
              <w:t xml:space="preserve"> to </w:t>
            </w:r>
            <w:r>
              <w:rPr>
                <w:b/>
                <w:color w:val="1F3A5F"/>
                <w:sz w:val="21"/>
              </w:rPr>
              <w:t>16.7 percent</w:t>
            </w:r>
            <w:r>
              <w:rPr>
                <w:b w:val="0"/>
                <w:color w:val="1F2937"/>
                <w:sz w:val="21"/>
              </w:rPr>
              <w:t xml:space="preserve"> while accuracy held at </w:t>
            </w:r>
            <w:r>
              <w:rPr>
                <w:b/>
                <w:color w:val="1F3A5F"/>
                <w:sz w:val="21"/>
              </w:rPr>
              <w:t>75 percent</w:t>
            </w:r>
            <w:r>
              <w:rPr>
                <w:b w:val="0"/>
                <w:color w:val="1F2937"/>
                <w:sz w:val="21"/>
              </w:rPr>
              <w:t xml:space="preserve"> on the held out test split.</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 RAG Orchestrator with Agentic Routing</w:t>
            </w:r>
          </w:p>
          <w:p>
            <w:pPr>
              <w:spacing w:before="0" w:after="0" w:line="264" w:lineRule="auto"/>
              <w:ind w:left="170"/>
              <w:jc w:val="both"/>
            </w:pPr>
            <w:r>
              <w:rPr>
                <w:b/>
                <w:color w:val="B8663F"/>
                <w:sz w:val="21"/>
              </w:rPr>
              <w:t xml:space="preserve">• </w:t>
            </w:r>
            <w:r>
              <w:rPr>
                <w:b w:val="0"/>
                <w:color w:val="1F2937"/>
                <w:sz w:val="21"/>
              </w:rPr>
              <w:t xml:space="preserve">For a personal RAG project that needed to answer from local PDFs, live web, and small talk without a hardcoded path, tasked with building the router, delivered a modular Retrieval Augmented Generation system on top of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and LangChain orchestration with a custom decision making router that classifies user intent into three execution paths, local knowledge retrieval, external web search, or direct conversational logic, and returns clean end to end responses on all three routes.</w:t>
            </w:r>
          </w:p>
          <w:p>
            <w:pPr>
              <w:spacing w:before="0" w:after="0" w:line="264" w:lineRule="auto"/>
              <w:ind w:left="170"/>
              <w:jc w:val="both"/>
            </w:pPr>
            <w:r>
              <w:rPr>
                <w:b/>
                <w:color w:val="B8663F"/>
                <w:sz w:val="21"/>
              </w:rPr>
              <w:t xml:space="preserve">• </w:t>
            </w:r>
            <w:r>
              <w:rPr>
                <w:b w:val="0"/>
                <w:color w:val="1F2937"/>
                <w:sz w:val="21"/>
              </w:rPr>
              <w:t>With document knowledge needing to persist across sessions rather than being reloaded each run, tasked with adding a durable semantic memory, built a ChromaDB store with local persistence and HuggingFace MiniLM L6 v2 embeddings over the PDF and vector data, which returned consistent retrieval on cross session queries.</w:t>
            </w:r>
          </w:p>
          <w:p>
            <w:pPr>
              <w:spacing w:before="0" w:after="0" w:line="264" w:lineRule="auto"/>
              <w:ind w:left="170"/>
              <w:jc w:val="both"/>
            </w:pPr>
            <w:r>
              <w:rPr>
                <w:b/>
                <w:color w:val="B8663F"/>
                <w:sz w:val="21"/>
              </w:rPr>
              <w:t xml:space="preserve">• </w:t>
            </w:r>
            <w:r>
              <w:rPr>
                <w:b w:val="0"/>
                <w:color w:val="1F2937"/>
                <w:sz w:val="21"/>
              </w:rPr>
              <w:t>Because single shot responses were breaking follow up questions in testing, tasked with keeping multi turn context intact for the LLM, added a stateful MemoryAgent directly into the inference pipeline, which produced coherent follow up answers rather than isolated single shot responses.</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p>
      <w:pPr>
        <w:keepNext/>
        <w:spacing w:before="20" w:after="0"/>
        <w:pBdr>
          <w:bottom w:val="single" w:sz="6" w:space="1" w:color="B7C0CE"/>
        </w:pBdr>
      </w:pPr>
      <w:r>
        <w:rPr>
          <w:b/>
          <w:color w:val="1F3A5F"/>
          <w:sz w:val="21"/>
        </w:rPr>
        <w:t>E D U C A T I O N</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to Present</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R E S E A R C H   A N D   T H E S I S</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Thesis, Diabetes Prediction Using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For a Bachelor thesis on diabetes prediction with a small clinical dataset of </w:t>
            </w:r>
            <w:r>
              <w:rPr>
                <w:b/>
                <w:color w:val="1F3A5F"/>
                <w:sz w:val="21"/>
              </w:rPr>
              <w:t>768 patients</w:t>
            </w:r>
            <w:r>
              <w:rPr>
                <w:b w:val="0"/>
                <w:color w:val="1F2937"/>
                <w:sz w:val="21"/>
              </w:rPr>
              <w:t xml:space="preserve">, tasked with building a defensible model comparison the examiners could audit, built a full end to end machine learning pipeline comparing six classifiers with </w:t>
            </w:r>
            <w:r>
              <w:rPr>
                <w:b/>
                <w:color w:val="1F3A5F"/>
                <w:sz w:val="21"/>
              </w:rPr>
              <w:t>10 fold</w:t>
            </w:r>
            <w:r>
              <w:rPr>
                <w:b w:val="0"/>
                <w:color w:val="1F2937"/>
                <w:sz w:val="21"/>
              </w:rPr>
              <w:t xml:space="preserve"> cross validation and per model confusion matrices, delivering a model comparison that stood up in the thesis defence.</w:t>
            </w:r>
          </w:p>
          <w:p>
            <w:pPr>
              <w:spacing w:before="0" w:after="0" w:line="264" w:lineRule="auto"/>
              <w:ind w:left="170"/>
              <w:jc w:val="both"/>
            </w:pPr>
            <w:r>
              <w:rPr>
                <w:b/>
                <w:color w:val="B8663F"/>
                <w:sz w:val="21"/>
              </w:rPr>
              <w:t xml:space="preserve">• </w:t>
            </w:r>
            <w:r>
              <w:rPr>
                <w:b w:val="0"/>
                <w:color w:val="1F2937"/>
                <w:sz w:val="21"/>
              </w:rPr>
              <w:t>Spotting biologically impossible zero values in the source data that the original authors had overlooked, tasked with restoring data integrity before any model fit, applied IQR based outlier removal and proper imputation, which lifted the dataset from silently broken to a clean training input for every downstream model.</w:t>
            </w:r>
          </w:p>
          <w:p>
            <w:pPr>
              <w:spacing w:before="0" w:after="0" w:line="264" w:lineRule="auto"/>
              <w:ind w:left="170"/>
              <w:jc w:val="both"/>
            </w:pPr>
            <w:r>
              <w:rPr>
                <w:b/>
                <w:color w:val="B8663F"/>
                <w:sz w:val="21"/>
              </w:rPr>
              <w:t xml:space="preserve">• </w:t>
            </w:r>
            <w:r>
              <w:rPr>
                <w:b w:val="0"/>
                <w:color w:val="1F2937"/>
                <w:sz w:val="21"/>
              </w:rPr>
              <w:t xml:space="preserve">With a </w:t>
            </w:r>
            <w:r>
              <w:rPr>
                <w:b/>
                <w:color w:val="1F3A5F"/>
                <w:sz w:val="21"/>
              </w:rPr>
              <w:t>65 to 35</w:t>
            </w:r>
            <w:r>
              <w:rPr>
                <w:b w:val="0"/>
                <w:color w:val="1F2937"/>
                <w:sz w:val="21"/>
              </w:rPr>
              <w:t xml:space="preserve"> class imbalance that made accuracy a misleading headline metric, tasked with choosing an evaluation that would not hide errors on the minority class, moved the headline metric from accuracy to ROC AUC, which exposed the real error patterns the accuracy score had been masking and gave the thesis an honest performance comparison.</w:t>
            </w:r>
          </w:p>
          <w:p>
            <w:pPr>
              <w:spacing w:before="0" w:after="0" w:line="264" w:lineRule="auto"/>
              <w:ind w:left="170"/>
              <w:jc w:val="both"/>
            </w:pPr>
            <w:r>
              <w:rPr>
                <w:b/>
                <w:color w:val="B8663F"/>
                <w:sz w:val="21"/>
              </w:rPr>
              <w:t xml:space="preserve">• </w:t>
            </w:r>
            <w:r>
              <w:rPr>
                <w:b w:val="0"/>
                <w:color w:val="1F2937"/>
                <w:sz w:val="21"/>
              </w:rPr>
              <w:t>With the results needing to be publishable in substance rather than just submissible, tasked with writing them up formally, produced an IEEE style paper including an honest limitations section and what to do differently in a follow up study, which the supervisor accepted as publishable in substance.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English</w:t>
            </w:r>
          </w:p>
        </w:tc>
        <w:tc>
          <w:tcPr>
            <w:tcW w:type="dxa" w:w="7937"/>
            <w:tcMar>
              <w:top w:w="0" w:type="dxa"/>
              <w:left w:w="0" w:type="dxa"/>
              <w:bottom w:w="0" w:type="dxa"/>
              <w:right w:w="0" w:type="dxa"/>
            </w:tcMar>
          </w:tcPr>
          <w:p>
            <w:pPr>
              <w:spacing w:before="0" w:after="0"/>
            </w:pPr>
            <w:r>
              <w:rPr>
                <w:color w:val="1F2937"/>
                <w:sz w:val="21"/>
              </w:rPr>
              <w:t>Fluent, written and spoken</w:t>
            </w:r>
          </w:p>
        </w:tc>
      </w:tr>
      <w:tr>
        <w:tc>
          <w:tcPr>
            <w:tcW w:type="dxa" w:w="1814"/>
            <w:tcMar>
              <w:top w:w="0" w:type="dxa"/>
              <w:left w:w="0" w:type="dxa"/>
              <w:bottom w:w="0" w:type="dxa"/>
              <w:right w:w="0" w:type="dxa"/>
            </w:tcMar>
          </w:tcPr>
          <w:p>
            <w:pPr>
              <w:spacing w:before="0" w:after="0"/>
            </w:pPr>
            <w:r>
              <w:rPr>
                <w:b/>
                <w:color w:val="1F3A5F"/>
                <w:sz w:val="21"/>
              </w:rPr>
              <w:t>German</w:t>
            </w:r>
          </w:p>
        </w:tc>
        <w:tc>
          <w:tcPr>
            <w:tcW w:type="dxa" w:w="7937"/>
            <w:tcMar>
              <w:top w:w="0" w:type="dxa"/>
              <w:left w:w="0" w:type="dxa"/>
              <w:bottom w:w="0" w:type="dxa"/>
              <w:right w:w="0" w:type="dxa"/>
            </w:tcMar>
          </w:tcPr>
          <w:p>
            <w:pPr>
              <w:spacing w:before="0" w:after="0"/>
            </w:pPr>
            <w:r>
              <w:rPr>
                <w:color w:val="1F2937"/>
                <w:sz w:val="21"/>
              </w:rPr>
              <w:t>B1 in progress toward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Native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