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Business Intelligence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w:t>
      </w:r>
    </w:p>
    <w:p>
      <w:pPr>
        <w:jc w:val="both"/>
        <w:pBdr>
          <w:bottom w:val="single" w:sz="6" w:space="1" w:color="E6E0D3"/>
        </w:pBdr>
      </w:pPr>
      <w:r>
        <w:rPr>
          <w:color w:val="2B2F3A"/>
          <w:sz w:val="21"/>
        </w:rPr>
        <w:t>Master Student der Data Science and Analytics an der SRH Heidelberg mit Sitz in Mannheim und praktischer Erfahrung in Business Intelligence, Dashboarding und Data Storytelling für Fachbereiche. Ich habe ein interaktives Tableau Dashboard mit dynamischer Set Action Steuerung gebaut, eine Random Forest Analyse zur wirtschaftlichen Wirkung globaler Klimaereignisse durchgeführt und eine BigQuery Medallion Pipeline mit fünfseitigem Looker Studio Dashboard geliefert. Sicher in Excel, SQL, Python und Power BI nahen Werkzeugen, bin ich die richtige Verstärkung, um das CRM und Business Intelligence Team im Vertrieb bei Reports, Adhoc Analysen und Dashboards zu unterstützen.</w:t>
      </w:r>
    </w:p>
    <w:p>
      <w:pPr>
        <w:spacing w:before="120" w:after="60"/>
        <w:pBdr>
          <w:bottom w:val="single" w:sz="6" w:space="1" w:color="E6E0D3"/>
        </w:pBdr>
      </w:pPr>
      <w:r>
        <w:rPr>
          <w:b/>
          <w:color w:val="1F5F6B"/>
          <w:sz w:val="25"/>
        </w:rPr>
        <w:t>BERUFSERFAHRUNG</w:t>
      </w:r>
    </w:p>
    <w:p>
      <w:r>
        <w:rPr>
          <w:b/>
          <w:color w:val="1F5F6B"/>
          <w:sz w:val="23"/>
        </w:rPr>
        <w:t>eRay GmbH</w:t>
      </w:r>
    </w:p>
    <w:p>
      <w:r>
        <w:rPr>
          <w:i/>
          <w:color w:val="7A6B58"/>
          <w:sz w:val="21"/>
        </w:rPr>
        <w:t>Data Scientist  ·  Okt 2025 bis Mrz 2026</w:t>
      </w:r>
    </w:p>
    <w:p>
      <w:pPr>
        <w:pStyle w:val="ListBullet"/>
        <w:spacing w:after="20"/>
        <w:ind w:left="283"/>
        <w:jc w:val="both"/>
      </w:pPr>
      <w:r>
        <w:rPr>
          <w:color w:val="2B2F3A"/>
          <w:sz w:val="21"/>
        </w:rPr>
        <w:t>Entwickelte eine end to end rekursive Zeitreihen Pipeline zur Prognose von Chlorophyll a, Trübung, pH Wert und gelöstem Sauerstoff für einen deutschen See, umgesetzt als sechsmonatige Zusammenarbeit mit der SRH Hochschule Heidelberg.</w:t>
      </w:r>
    </w:p>
    <w:p>
      <w:pPr>
        <w:pStyle w:val="ListBullet"/>
        <w:spacing w:after="20"/>
        <w:ind w:left="283"/>
        <w:jc w:val="both"/>
      </w:pPr>
      <w:r>
        <w:rPr>
          <w:color w:val="2B2F3A"/>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pStyle w:val="ListBullet"/>
        <w:spacing w:after="20"/>
        <w:ind w:left="283"/>
        <w:jc w:val="both"/>
      </w:pPr>
      <w:r>
        <w:rPr>
          <w:color w:val="2B2F3A"/>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pStyle w:val="ListBullet"/>
        <w:spacing w:after="20"/>
        <w:ind w:left="283"/>
        <w:jc w:val="both"/>
      </w:pPr>
      <w:r>
        <w:rPr>
          <w:color w:val="2B2F3A"/>
          <w:sz w:val="21"/>
        </w:rPr>
        <w:t>Rekonstruierte fehlende Winter Messwerte mit MICE Imputation und entwickelte einen synthetischen Winter Decay Prognose Rahmen, damit baumbasierte Modelle während der rekursiven Vorhersage nicht flach werden.</w:t>
      </w:r>
    </w:p>
    <w:p>
      <w:pPr>
        <w:pStyle w:val="ListBullet"/>
        <w:spacing w:after="20"/>
        <w:ind w:left="283"/>
        <w:jc w:val="both"/>
        <w:pBdr>
          <w:bottom w:val="single" w:sz="6" w:space="1" w:color="E6E0D3"/>
        </w:pBdr>
      </w:pPr>
      <w:r>
        <w:rPr>
          <w:color w:val="2B2F3A"/>
          <w:sz w:val="21"/>
        </w:rPr>
        <w:t>Umschloss die gesamte Pipeline mit einem Orchestrator, der Gate Checks sowie Geschwindigkeits und ökologische Grenzen prüft und bei fehlgeschlagener Imputation stoppt, statt schlechte Daten weiterfließen zu lassen.</w:t>
      </w:r>
    </w:p>
    <w:p>
      <w:pPr>
        <w:spacing w:before="120" w:after="60"/>
        <w:pBdr>
          <w:bottom w:val="single" w:sz="6" w:space="1" w:color="E6E0D3"/>
        </w:pBdr>
      </w:pPr>
      <w:r>
        <w:rPr>
          <w:b/>
          <w:color w:val="1F5F6B"/>
          <w:sz w:val="25"/>
        </w:rPr>
        <w:t>AUSBILDUNG</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PERSÖNLICHE PROJEKTE</w:t>
      </w:r>
    </w:p>
    <w:p>
      <w:r>
        <w:rPr>
          <w:b/>
          <w:color w:val="1F5F6B"/>
          <w:sz w:val="23"/>
        </w:rPr>
        <w:t>Fast Food Nährwert Analyzer und Meal Simulator</w:t>
      </w:r>
    </w:p>
    <w:p>
      <w:r>
        <w:rPr>
          <w:i/>
          <w:color w:val="7A6B58"/>
          <w:sz w:val="21"/>
        </w:rPr>
        <w:t>Built with Tableau mit Set Actions, Parameter und Calculated Fields, Data Storytelling und UI oder UX</w:t>
      </w:r>
    </w:p>
    <w:p>
      <w:pPr>
        <w:pStyle w:val="ListBullet"/>
        <w:spacing w:after="20"/>
        <w:ind w:left="283"/>
        <w:jc w:val="both"/>
      </w:pPr>
      <w:r>
        <w:rPr>
          <w:color w:val="2B2F3A"/>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pStyle w:val="ListBullet"/>
        <w:spacing w:after="20"/>
        <w:ind w:left="283"/>
        <w:jc w:val="both"/>
      </w:pPr>
      <w:r>
        <w:rPr>
          <w:color w:val="2B2F3A"/>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pStyle w:val="ListBullet"/>
        <w:spacing w:after="20"/>
        <w:ind w:left="283"/>
        <w:jc w:val="both"/>
      </w:pPr>
      <w:r>
        <w:rPr>
          <w:color w:val="2B2F3A"/>
          <w:sz w:val="21"/>
        </w:rPr>
        <w:t>Formulierte komplexe IF THEN Calculated Fields für logische Gruppierung und eigene Flags wie ein Is It A Trap Flag für trügerisch fett und kalorienreiche Produkte, messbar über manuelle Stichproben gegen die Nährwertquelle.</w:t>
      </w:r>
    </w:p>
    <w:p>
      <w:pPr>
        <w:pStyle w:val="ListBullet"/>
        <w:spacing w:after="20"/>
        <w:ind w:left="283"/>
        <w:jc w:val="both"/>
      </w:pPr>
      <w:r>
        <w:rPr>
          <w:color w:val="2B2F3A"/>
          <w:sz w:val="21"/>
        </w:rPr>
        <w:t>Entwarf ein zweistufiges Layout mit Executive Makro Sicht und granularer Food Finder Sicht in einer farbenblind sicheren Dark Mode Palette, messbar an einem Ziel geringerer Time to Insight für Nicht Techniker.</w:t>
      </w:r>
    </w:p>
    <w:p>
      <w:r>
        <w:rPr>
          <w:b/>
          <w:color w:val="1F5F6B"/>
          <w:sz w:val="23"/>
        </w:rPr>
        <w:t>Movie Analytics und ML Pipeline auf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pStyle w:val="ListBullet"/>
        <w:spacing w:after="20"/>
        <w:ind w:left="283"/>
        <w:jc w:val="both"/>
      </w:pPr>
      <w:r>
        <w:rPr>
          <w:color w:val="2B2F3A"/>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pStyle w:val="ListBullet"/>
        <w:spacing w:after="20"/>
        <w:ind w:left="283"/>
        <w:jc w:val="both"/>
      </w:pPr>
      <w:r>
        <w:rPr>
          <w:color w:val="2B2F3A"/>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pStyle w:val="ListBullet"/>
        <w:spacing w:after="20"/>
        <w:ind w:left="283"/>
        <w:jc w:val="both"/>
      </w:pPr>
      <w:r>
        <w:rPr>
          <w:color w:val="2B2F3A"/>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r>
        <w:rPr>
          <w:b/>
          <w:color w:val="1F5F6B"/>
          <w:sz w:val="23"/>
        </w:rPr>
        <w:t>Wirtschaftliche Analyse globaler Klimaereignisse</w:t>
      </w:r>
    </w:p>
    <w:p>
      <w:r>
        <w:rPr>
          <w:i/>
          <w:color w:val="7A6B58"/>
          <w:sz w:val="21"/>
        </w:rPr>
        <w:t>Built with Python mit Pandas und scikit learn, Random Forest, statistische Modellierung, Matplotlib und Seaborn</w:t>
      </w:r>
    </w:p>
    <w:p>
      <w:pPr>
        <w:pStyle w:val="ListBullet"/>
        <w:spacing w:after="20"/>
        <w:ind w:left="283"/>
        <w:jc w:val="both"/>
      </w:pPr>
      <w:r>
        <w:rPr>
          <w:color w:val="2B2F3A"/>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pStyle w:val="ListBullet"/>
        <w:spacing w:after="20"/>
        <w:ind w:left="283"/>
        <w:jc w:val="both"/>
      </w:pPr>
      <w:r>
        <w:rPr>
          <w:color w:val="2B2F3A"/>
          <w:sz w:val="21"/>
        </w:rPr>
        <w:t>Setzte fortgeschrittene Datenaufbereitung um über Ausreißer, Imputation und Normalisierung, messbar an stabiler Modellleistung vor und nach dem Feature Scaling, als Basis für ein solides Datenfundament.</w:t>
      </w:r>
    </w:p>
    <w:p>
      <w:pPr>
        <w:pStyle w:val="ListBullet"/>
        <w:spacing w:after="20"/>
        <w:ind w:left="283"/>
        <w:jc w:val="both"/>
      </w:pPr>
      <w:r>
        <w:rPr>
          <w:color w:val="2B2F3A"/>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pStyle w:val="ListBullet"/>
        <w:spacing w:after="20"/>
        <w:ind w:left="283"/>
        <w:jc w:val="both"/>
        <w:pBdr>
          <w:bottom w:val="single" w:sz="6" w:space="1" w:color="E6E0D3"/>
        </w:pBdr>
      </w:pPr>
      <w:r>
        <w:rPr>
          <w:color w:val="2B2F3A"/>
          <w:sz w:val="21"/>
        </w:rPr>
        <w:t>Kommunizierte komplexe statistische Ergebnisse an nicht technische Stakeholder, messbar an vollständigen visuellen Reports und kalibrierten Konfidenzaussagen, die einer Management Review standhalten.</w:t>
      </w:r>
    </w:p>
    <w:p>
      <w:pPr>
        <w:spacing w:before="120" w:after="60"/>
        <w:pBdr>
          <w:bottom w:val="single" w:sz="6" w:space="1" w:color="E6E0D3"/>
        </w:pBdr>
      </w:pPr>
      <w:r>
        <w:rPr>
          <w:b/>
          <w:color w:val="1F5F6B"/>
          <w:sz w:val="25"/>
        </w:rPr>
        <w:t>FORSCHUNG UND ABSCHLUSSARBEIT</w:t>
      </w:r>
    </w:p>
    <w:p>
      <w:r>
        <w:rPr>
          <w:b/>
          <w:color w:val="1F5F6B"/>
          <w:sz w:val="23"/>
        </w:rPr>
        <w:t>Bachelorarbeit: Diabetesvorhersage mit Machine Learning</w:t>
      </w:r>
    </w:p>
    <w:p>
      <w:r>
        <w:rPr>
          <w:i/>
          <w:color w:val="7A6B58"/>
          <w:sz w:val="21"/>
        </w:rPr>
        <w:t>GL Bajaj Institute of Technology and Management, IEEE style paper</w:t>
      </w:r>
    </w:p>
    <w:p>
      <w:pPr>
        <w:pStyle w:val="ListBullet"/>
        <w:spacing w:after="20"/>
        <w:ind w:left="283"/>
        <w:jc w:val="both"/>
      </w:pPr>
      <w:r>
        <w:rPr>
          <w:color w:val="2B2F3A"/>
          <w:sz w:val="21"/>
        </w:rPr>
        <w:t>Entwickelte eine vollständige end to end Machine Learning Pipeline mit sechs Klassifikatoren auf einem klinischen Datensatz von 768 Patientinnen und Patienten, gestützt auf 10 fache Kreuzvalidierung und pro Modell erstellte Konfusionsmatrizen, damit der Modellvergleich prüfbar bleibt.</w:t>
      </w:r>
    </w:p>
    <w:p>
      <w:pPr>
        <w:pStyle w:val="ListBullet"/>
        <w:spacing w:after="20"/>
        <w:ind w:left="283"/>
        <w:jc w:val="both"/>
      </w:pPr>
      <w:r>
        <w:rPr>
          <w:color w:val="2B2F3A"/>
          <w:sz w:val="21"/>
        </w:rPr>
        <w:t>Erkannte biologisch unmögliche Nullwerte, die die Originalautoren übersehen hatten, und entfernte diese über IQR basierte Ausreißerbehandlung und saubere Imputation, um die Datenintegrität vor jedem Modelltraining wiederherzustellen.</w:t>
      </w:r>
    </w:p>
    <w:p>
      <w:pPr>
        <w:pStyle w:val="ListBullet"/>
        <w:spacing w:after="20"/>
        <w:ind w:left="283"/>
        <w:jc w:val="both"/>
      </w:pPr>
      <w:r>
        <w:rPr>
          <w:color w:val="2B2F3A"/>
          <w:sz w:val="21"/>
        </w:rPr>
        <w:t>Wählte ROC AUC statt Genauigkeit als Leitmetrik für einen unausgeglichenen Datensatz mit 65 zu 35 Verteilung, um eine trügerisch schöne Genauigkeit zu vermeiden, die reale Fehler in der Minderheitsklasse verdeckt hätte.</w:t>
      </w:r>
    </w:p>
    <w:p>
      <w:pPr>
        <w:pStyle w:val="ListBullet"/>
        <w:spacing w:after="20"/>
        <w:ind w:left="283"/>
        <w:jc w:val="both"/>
        <w:pBdr>
          <w:bottom w:val="single" w:sz="6" w:space="1" w:color="E6E0D3"/>
        </w:pBdr>
      </w:pPr>
      <w:r>
        <w:rPr>
          <w:color w:val="2B2F3A"/>
          <w:sz w:val="21"/>
        </w:rPr>
        <w:t>Verfasste die Ergebnisse als IEEE Paper mit einem ehrlichen Abschnitt zu Grenzen und Verbesserungsvorschlägen für eine Folgestudie, in Substanz veröffentlichungsreif.</w:t>
      </w:r>
    </w:p>
    <w:p>
      <w:pPr>
        <w:spacing w:before="120" w:after="60"/>
        <w:pBdr>
          <w:bottom w:val="single" w:sz="6" w:space="1" w:color="E6E0D3"/>
        </w:pBdr>
      </w:pPr>
      <w:r>
        <w:rPr>
          <w:b/>
          <w:color w:val="1F5F6B"/>
          <w:sz w:val="25"/>
        </w:rPr>
        <w:t>ZERTIFIKATE</w:t>
      </w:r>
    </w:p>
    <w:p>
      <w:pPr>
        <w:pStyle w:val="ListBullet"/>
        <w:spacing w:after="20"/>
        <w:ind w:left="283"/>
        <w:jc w:val="both"/>
      </w:pPr>
      <w:r>
        <w:rPr>
          <w:color w:val="2B2F3A"/>
          <w:sz w:val="21"/>
        </w:rPr>
        <w:t>SAS Certified Specialist: Visual Business Analytics Using SAS Viya, ausgestellt im Mai 2025.</w:t>
      </w:r>
    </w:p>
    <w:p>
      <w:pPr>
        <w:pStyle w:val="ListBullet"/>
        <w:spacing w:after="20"/>
        <w:ind w:left="283"/>
        <w:jc w:val="both"/>
      </w:pPr>
      <w:r>
        <w:rPr>
          <w:color w:val="2B2F3A"/>
          <w:sz w:val="21"/>
        </w:rPr>
        <w:t>Google Data Analytics: Foundations, Data, Data, Everywhere, ausgestellt im April 2025 auf Coursera.</w:t>
      </w:r>
    </w:p>
    <w:p>
      <w:pPr>
        <w:pStyle w:val="ListBullet"/>
        <w:spacing w:after="20"/>
        <w:ind w:left="283"/>
        <w:jc w:val="both"/>
        <w:pBdr>
          <w:bottom w:val="single" w:sz="6" w:space="1" w:color="E6E0D3"/>
        </w:pBdr>
      </w:pPr>
      <w:r>
        <w:rPr>
          <w:color w:val="2B2F3A"/>
          <w:sz w:val="21"/>
        </w:rPr>
        <w:t>NVIDIA: Building LLM Applications With Prompt Engineering, ausgestellt im November 2025.</w:t>
      </w:r>
    </w:p>
    <w:p>
      <w:pPr>
        <w:spacing w:before="120" w:after="60"/>
        <w:pBdr>
          <w:bottom w:val="single" w:sz="6" w:space="1" w:color="E6E0D3"/>
        </w:pBdr>
      </w:pPr>
      <w:r>
        <w:rPr>
          <w:b/>
          <w:color w:val="1F5F6B"/>
          <w:sz w:val="25"/>
        </w:rPr>
        <w:t>AUSZEICHNUNGEN</w:t>
      </w:r>
    </w:p>
    <w:p>
      <w:pPr>
        <w:pStyle w:val="ListBullet"/>
        <w:spacing w:after="20"/>
        <w:ind w:left="283"/>
        <w:jc w:val="both"/>
        <w:pBdr>
          <w:bottom w:val="single" w:sz="6" w:space="1" w:color="E6E0D3"/>
        </w:pBdr>
      </w:pPr>
      <w:r>
        <w:rPr>
          <w:color w:val="2B2F3A"/>
          <w:sz w:val="21"/>
        </w:rPr>
        <w:t>USAII Global AI Hackathon 2026: Finalist auf Graduate Level, ausgezeichnet vom United States Artificial Intelligence Institute für Innovation, technische Kreativität und angewandte KI an realen Herausforderungen.</w:t>
      </w:r>
    </w:p>
    <w:p>
      <w:pPr>
        <w:spacing w:before="120" w:after="60"/>
        <w:pBdr>
          <w:bottom w:val="single" w:sz="6" w:space="1" w:color="E6E0D3"/>
        </w:pBdr>
      </w:pPr>
      <w:r>
        <w:rPr>
          <w:b/>
          <w:color w:val="1F5F6B"/>
          <w:sz w:val="25"/>
        </w:rPr>
        <w:t>SPRACHEN</w:t>
      </w:r>
    </w:p>
    <w:p>
      <w:r>
        <w:rPr>
          <w:color w:val="2B2F3A"/>
          <w:sz w:val="21"/>
        </w:rPr>
        <w:t>Englisch: fließend, professionell. Deutsch: B1, in Bearbeitung.</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