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120" w:after="40"/>
        <w:jc w:val="left"/>
      </w:pPr>
      <w:r>
        <w:rPr>
          <w:rFonts w:ascii="Calibri" w:hAnsi="Calibri" w:cs="Calibri"/>
          <w:b/>
          <w:i w:val="0"/>
          <w:color w:val="0A2A5C"/>
          <w:sz w:val="25"/>
        </w:rPr>
        <w:t>PROFILE</w:t>
      </w:r>
    </w:p>
    <w:p>
      <w:pPr>
        <w:spacing w:before="0" w:after="80" w:line="276" w:lineRule="auto"/>
        <w:jc w:val="both"/>
        <w:pBdr>
          <w:bottom w:val="single" w:sz="6" w:space="6" w:color="808080"/>
        </w:pBdr>
      </w:pPr>
      <w:r>
        <w:rPr>
          <w:rFonts w:ascii="Calibri" w:hAnsi="Calibri" w:cs="Calibri"/>
          <w:b w:val="0"/>
          <w:i w:val="0"/>
          <w:color w:val="1A1A1A"/>
          <w:sz w:val="21"/>
        </w:rPr>
        <w:t>Data Science and Analytics Master student at SRH Heidelberg with a strong record of building end to end Retrieval Augmented Generation systems and honest, leakage aware ML evaluation. My personal Hybrid RAG Orchestrator combined Llama 3.1 8b, LangChain, ChromaDB, and a custom router that picks between local vector retrieval, external search, and direct chat, which gives me the practical grounding to explore how semantic web technologies such as RDF, OWL, and SPARQL can extend a GraphRAG pipeline. My Bachelor Thesis on clinical machine learning showed that I can carry a research grade project from literature review to IEEE style write up on my own.</w:t>
      </w:r>
    </w:p>
    <w:p>
      <w:pPr>
        <w:spacing w:before="120" w:after="40"/>
        <w:jc w:val="left"/>
      </w:pPr>
      <w:r>
        <w:rPr>
          <w:rFonts w:ascii="Calibri" w:hAnsi="Calibri" w:cs="Calibri"/>
          <w:b/>
          <w:i w:val="0"/>
          <w:color w:val="0A2A5C"/>
          <w:sz w:val="25"/>
        </w:rPr>
        <w:t>EDUCATION</w:t>
      </w:r>
    </w:p>
    <w:p>
      <w:pPr>
        <w:tabs>
          <w:tab w:pos="10080" w:val="right"/>
        </w:tabs>
        <w:spacing w:before="0" w:after="0"/>
        <w:jc w:val="left"/>
      </w:pPr>
      <w:r>
        <w:rPr>
          <w:rFonts w:ascii="Calibri" w:hAnsi="Calibri" w:cs="Calibri"/>
          <w:b/>
          <w:i w:val="0"/>
          <w:color w:val="0A2A5C"/>
          <w:sz w:val="23"/>
        </w:rPr>
        <w:t>M.Sc. Data Science and Analytics</w:t>
      </w:r>
      <w:r>
        <w:rPr>
          <w:rFonts w:ascii="Calibri" w:hAnsi="Calibri" w:cs="Calibri"/>
          <w:b w:val="0"/>
          <w:i w:val="0"/>
          <w:color w:val="1A1A1A"/>
          <w:sz w:val="21"/>
        </w:rPr>
        <w:tab/>
        <w:t>Apr 2025 to Present</w:t>
      </w:r>
    </w:p>
    <w:p>
      <w:pPr>
        <w:spacing w:before="0" w:after="60"/>
        <w:jc w:val="left"/>
      </w:pPr>
      <w:r>
        <w:rPr>
          <w:rFonts w:ascii="Calibri" w:hAnsi="Calibri" w:cs="Calibri"/>
          <w:b w:val="0"/>
          <w:i/>
          <w:color w:val="1A1A1A"/>
          <w:sz w:val="21"/>
        </w:rPr>
        <w:t>SRH University of Applied Sciences Heidelberg</w:t>
      </w:r>
    </w:p>
    <w:p>
      <w:pPr>
        <w:tabs>
          <w:tab w:pos="10080" w:val="right"/>
        </w:tabs>
        <w:spacing w:before="0" w:after="0"/>
        <w:jc w:val="left"/>
      </w:pPr>
      <w:r>
        <w:rPr>
          <w:rFonts w:ascii="Calibri" w:hAnsi="Calibri" w:cs="Calibri"/>
          <w:b/>
          <w:i w:val="0"/>
          <w:color w:val="0A2A5C"/>
          <w:sz w:val="23"/>
        </w:rPr>
        <w:t>Bachelor of Technology in Computer Science</w:t>
      </w:r>
      <w:r>
        <w:rPr>
          <w:rFonts w:ascii="Calibri" w:hAnsi="Calibri" w:cs="Calibri"/>
          <w:b w:val="0"/>
          <w:i w:val="0"/>
          <w:color w:val="1A1A1A"/>
          <w:sz w:val="21"/>
        </w:rPr>
        <w:tab/>
        <w:t>2019 to 2023</w:t>
      </w:r>
    </w:p>
    <w:p>
      <w:pPr>
        <w:spacing w:before="0" w:after="60"/>
        <w:jc w:val="left"/>
      </w:pPr>
      <w:r>
        <w:rPr>
          <w:rFonts w:ascii="Calibri" w:hAnsi="Calibri" w:cs="Calibri"/>
          <w:b w:val="0"/>
          <w:i/>
          <w:color w:val="1A1A1A"/>
          <w:sz w:val="21"/>
        </w:rPr>
        <w:t>GL Bajaj Institute of Technology and Management</w:t>
      </w:r>
    </w:p>
    <w:p>
      <w:pPr>
        <w:spacing w:before="0" w:after="80"/>
        <w:pBdr>
          <w:bottom w:val="single" w:sz="6" w:space="1" w:color="808080"/>
        </w:pBdr>
      </w:pPr>
    </w:p>
    <w:p>
      <w:pPr>
        <w:spacing w:before="120" w:after="40"/>
        <w:jc w:val="left"/>
      </w:pPr>
      <w:r>
        <w:rPr>
          <w:rFonts w:ascii="Calibri" w:hAnsi="Calibri" w:cs="Calibri"/>
          <w:b/>
          <w:i w:val="0"/>
          <w:color w:val="0A2A5C"/>
          <w:sz w:val="25"/>
        </w:rPr>
        <w:t>EXPERIENCE</w:t>
      </w:r>
    </w:p>
    <w:p>
      <w:pPr>
        <w:spacing w:before="0" w:after="0"/>
        <w:jc w:val="left"/>
      </w:pPr>
      <w:r>
        <w:rPr>
          <w:rFonts w:ascii="Calibri" w:hAnsi="Calibri" w:cs="Calibri"/>
          <w:b/>
          <w:i w:val="0"/>
          <w:color w:val="0A2A5C"/>
          <w:sz w:val="23"/>
        </w:rPr>
        <w:t>eRay GmbH</w:t>
      </w:r>
    </w:p>
    <w:p>
      <w:pPr>
        <w:spacing w:before="0" w:after="60"/>
        <w:jc w:val="left"/>
      </w:pPr>
      <w:r>
        <w:rPr>
          <w:rFonts w:ascii="Calibri" w:hAnsi="Calibri" w:cs="Calibri"/>
          <w:b w:val="0"/>
          <w:i/>
          <w:color w:val="1A1A1A"/>
          <w:sz w:val="21"/>
        </w:rPr>
        <w:t>Data Scientist · Oct 2025 to Mar 2026</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Reconstructed missing winter readings with MICE imputation and engineered a synthetic winter decay forecast canvas so tree based models stopped flatlining during recursive prediction.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Wrapped the whole pipeline in an orchestrator with gate checks and velocity and ecological bounds that halts on failed imputation rather than letting bad data cascade downstream.</w:t>
      </w:r>
    </w:p>
    <w:p>
      <w:pPr>
        <w:spacing w:before="0" w:after="80"/>
        <w:pBdr>
          <w:bottom w:val="single" w:sz="6" w:space="1" w:color="808080"/>
        </w:pBdr>
      </w:pPr>
    </w:p>
    <w:p>
      <w:pPr>
        <w:spacing w:before="120" w:after="40"/>
        <w:jc w:val="left"/>
      </w:pPr>
      <w:r>
        <w:rPr>
          <w:rFonts w:ascii="Calibri" w:hAnsi="Calibri" w:cs="Calibri"/>
          <w:b/>
          <w:i w:val="0"/>
          <w:color w:val="0A2A5C"/>
          <w:sz w:val="25"/>
        </w:rPr>
        <w:t>PERSONAL PROJECTS</w:t>
      </w:r>
    </w:p>
    <w:p>
      <w:pPr>
        <w:spacing w:before="40" w:after="20"/>
        <w:jc w:val="left"/>
      </w:pPr>
      <w:r>
        <w:rPr>
          <w:rFonts w:ascii="Calibri" w:hAnsi="Calibri" w:cs="Calibri"/>
          <w:b/>
          <w:i w:val="0"/>
          <w:color w:val="0A2A5C"/>
          <w:sz w:val="23"/>
        </w:rPr>
        <w:t>Hybrid RAG Orchestrator</w:t>
      </w:r>
      <w:r>
        <w:rPr>
          <w:rFonts w:ascii="Calibri" w:hAnsi="Calibri" w:cs="Calibri"/>
          <w:b w:val="0"/>
          <w:i/>
          <w:color w:val="1A1A1A"/>
          <w:sz w:val="21"/>
        </w:rPr>
        <w:t>: Python, LangChain, Llama 3.1 8b via Groq, ChromaDB, HuggingFace MiniLM L6 v2, Streamlit</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Designed a modular Retrieval Augmented Generation system using Llama 3.1 8b through Groq for high speed inference and LangChain for orchestration.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Engineered a custom decision making router that dynamically classifies user intent into three execution paths, local knowledge retrieval from a PDF vector store, external web search through DuckDuckGo, or direct conversational logic.</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Implemented ChromaDB with local persistence for document storage and used HuggingFace MiniLM L6 v2 for semantic embeddings across the retrieval corpus.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stateful MemoryAgent that maintains conversational context across multiple turns, integrated directly into the inference pipeline, and shipped the whole system behind a Streamlit interface end to end.</w:t>
      </w:r>
    </w:p>
    <w:p>
      <w:pPr>
        <w:spacing w:before="40" w:after="20"/>
        <w:jc w:val="left"/>
      </w:pPr>
      <w:r>
        <w:rPr>
          <w:rFonts w:ascii="Calibri" w:hAnsi="Calibri" w:cs="Calibri"/>
          <w:b/>
          <w:i w:val="0"/>
          <w:color w:val="0A2A5C"/>
          <w:sz w:val="23"/>
        </w:rPr>
        <w:t>CreditIQ, Fairness by Design Credit Scoring System</w:t>
      </w:r>
      <w:r>
        <w:rPr>
          <w:rFonts w:ascii="Calibri" w:hAnsi="Calibri" w:cs="Calibri"/>
          <w:b w:val="0"/>
          <w:i/>
          <w:color w:val="1A1A1A"/>
          <w:sz w:val="21"/>
        </w:rPr>
        <w:t>: Python, scikit learn, AIF360, SHAP, Streamlit</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Lifted the model's Disparate Impact ratio from a failing 0.79 to a compliant 0.88, clearing the EU AI Act and AGG 80 percent fairness threshold.</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Cut the false negative rate from 44 percent to 16.7 percent while holding accuracy at 75 percent, documenting the fairness accuracy trade off as a deliberate and regulator defensible decision.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Shipped a Streamlit decision support tool giving finance managers a recommendation plus a plain language LLM generated explanation, keeping a human in the loop per GDPR Article 22 and EU AI Act Article 14.</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Backed the pipeline with unit tests at 100 percent branch coverage and a full regulatory write up covering EU AI Act Annex III, GDPR, a model card, and attack vectors.</w:t>
      </w:r>
    </w:p>
    <w:p>
      <w:pPr>
        <w:spacing w:before="40" w:after="20"/>
        <w:jc w:val="left"/>
      </w:pPr>
      <w:r>
        <w:rPr>
          <w:rFonts w:ascii="Calibri" w:hAnsi="Calibri" w:cs="Calibri"/>
          <w:b/>
          <w:i w:val="0"/>
          <w:color w:val="0A2A5C"/>
          <w:sz w:val="23"/>
        </w:rPr>
        <w:t>Movie Analytics and ML Pipeline, Cloud Native Data Platform</w:t>
      </w:r>
      <w:r>
        <w:rPr>
          <w:rFonts w:ascii="Calibri" w:hAnsi="Calibri" w:cs="Calibri"/>
          <w:b w:val="0"/>
          <w:i/>
          <w:color w:val="1A1A1A"/>
          <w:sz w:val="21"/>
        </w:rPr>
        <w:t>: GCP BigQuery, Cloud Run, GCS, Cloud Scheduler, BigQuery ML, Python, SQL, Looker Studio</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batch pipeline pulling movie data from a public API into a GCS data lake, processed through a Bronze to Silver to Gold medallion architecture in BigQuery, and fully automated on a Cloud Scheduler trigger with no manual steps.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Engineered the Silver layer for trustworthy analytics with schema enforcement, safe type casting, deduplication through window functions, and genre normalisation into a relational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Trained a BigQuery ML classifier to predict whether a film will be a hit before release, deliberately splitting features into two tables to prevent data leakage so that only pre release signals feed the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Gold layer aggregates and a five page Looker Studio dashboard answering concrete business questions on genre ROI, foreign language growth, and release season timing, plus an ML early warning view.</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Secured the system with a least privilege service account and Secret Manager and version controlled all code, SQL, and schemas in a reproducible GitHub repository.</w:t>
      </w:r>
    </w:p>
    <w:p>
      <w:pPr>
        <w:spacing w:before="0" w:after="80"/>
        <w:pBdr>
          <w:bottom w:val="single" w:sz="6" w:space="1" w:color="808080"/>
        </w:pBdr>
      </w:pPr>
    </w:p>
    <w:p>
      <w:pPr>
        <w:spacing w:before="120" w:after="40"/>
        <w:jc w:val="left"/>
      </w:pPr>
      <w:r>
        <w:rPr>
          <w:rFonts w:ascii="Calibri" w:hAnsi="Calibri" w:cs="Calibri"/>
          <w:b/>
          <w:i w:val="0"/>
          <w:color w:val="0A2A5C"/>
          <w:sz w:val="25"/>
        </w:rPr>
        <w:t>RESEARCH AND THESIS</w:t>
      </w:r>
    </w:p>
    <w:p>
      <w:pPr>
        <w:spacing w:before="0" w:after="0"/>
        <w:jc w:val="left"/>
      </w:pPr>
      <w:r>
        <w:rPr>
          <w:rFonts w:ascii="Calibri" w:hAnsi="Calibri" w:cs="Calibri"/>
          <w:b/>
          <w:i w:val="0"/>
          <w:color w:val="0A2A5C"/>
          <w:sz w:val="23"/>
        </w:rPr>
        <w:t>Bachelor Thesis, Diabetes Prediction Using Machine Learning</w:t>
      </w:r>
    </w:p>
    <w:p>
      <w:pPr>
        <w:spacing w:before="0" w:after="60"/>
        <w:jc w:val="left"/>
      </w:pPr>
      <w:r>
        <w:rPr>
          <w:rFonts w:ascii="Calibri" w:hAnsi="Calibri" w:cs="Calibri"/>
          <w:b w:val="0"/>
          <w:i/>
          <w:color w:val="1A1A1A"/>
          <w:sz w:val="21"/>
        </w:rPr>
        <w:t>GL Bajaj Institute of Technology and Management, IEEE style paper</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full end to end machine learning pipeline comparing six classifiers on a clinical diabetes dataset of 768 patients, using 10 fold cross validation and per model confusion matrices.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Caught biologically impossible zero values that the original authors had overlooked, then applied IQR based outlier removal and proper imputation to restore data integrity.</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Chose ROC AUC over accuracy as the headline metric for a 65 to 35 imbalanced dataset, avoiding a misleadingly rosy accuracy figure that would have hidden real error patterns.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Wrote up findings as an IEEE style paper including an honest section on limitations and what to do differently in a follow up study.</w:t>
      </w:r>
    </w:p>
    <w:p>
      <w:pPr>
        <w:spacing w:before="0" w:after="80"/>
        <w:pBdr>
          <w:bottom w:val="single" w:sz="6" w:space="1" w:color="808080"/>
        </w:pBdr>
      </w:pPr>
    </w:p>
    <w:p>
      <w:pPr>
        <w:spacing w:before="120" w:after="40"/>
        <w:jc w:val="left"/>
      </w:pPr>
      <w:r>
        <w:rPr>
          <w:rFonts w:ascii="Calibri" w:hAnsi="Calibri" w:cs="Calibri"/>
          <w:b/>
          <w:i w:val="0"/>
          <w:color w:val="0A2A5C"/>
          <w:sz w:val="25"/>
        </w:rPr>
        <w:t>LANGUAGES</w:t>
      </w:r>
    </w:p>
    <w:p>
      <w:pPr>
        <w:spacing w:before="0" w:after="60"/>
        <w:jc w:val="both"/>
        <w:pBdr>
          <w:bottom w:val="single" w:sz="6" w:space="6" w:color="808080"/>
        </w:pBdr>
      </w:pPr>
      <w:r>
        <w:rPr>
          <w:rFonts w:ascii="Calibri" w:hAnsi="Calibri" w:cs="Calibri"/>
          <w:b w:val="0"/>
          <w:i w:val="0"/>
          <w:color w:val="1A1A1A"/>
          <w:sz w:val="21"/>
        </w:rPr>
        <w:t>English: fluent, professional working proficiency. German: B1, in progress.</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