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People Analytics und AI Reporting</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im Aufbau von KI gestützten Reporting Prozessen und Data Analytics Werkzeugen. Ich habe eine vollständig automatisierte BigQuery Medallion Pipeline mit fünfseitigem Looker Studio Dashboard geliefert, ein interaktives Tableau Dashboard mit Set Actions und parameter gesteuerter Analytik umgesetzt und ein modulares Retrieval Augmented Generation System auf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mit LangChain gebaut. Sicher in Excel, Python und SQL, mit Erfahrung in ChatGPT, Copilot und modernen No und Low Code AI Werkzeugen, bin ich die richtige Verstärkung, um das internationale Personnel Controlling bei Craftview von Grund auf mit aufzubauen.</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Baute eine end to end Batch Pipeline, die Filmdaten aus einer öffentlichen API in einen GCS Data Lake zieht und sie über eine Bronze Silver Gold Medallion Architektur in BigQuery verarbeitet, messbar an einem vollständig automatisierten Cloud Scheduler Trigger ohne manuellen Eingriff, umgesetzt mit Cloud Run als Compute Layer.</w:t>
            </w:r>
          </w:p>
          <w:p>
            <w:pPr>
              <w:spacing w:before="0" w:after="0" w:line="264" w:lineRule="auto"/>
              <w:ind w:left="170"/>
              <w:jc w:val="both"/>
            </w:pPr>
            <w:r>
              <w:rPr>
                <w:b/>
                <w:color w:val="B8663F"/>
                <w:sz w:val="21"/>
              </w:rPr>
              <w:t xml:space="preserve">• </w:t>
            </w:r>
            <w:r>
              <w:rPr>
                <w:b w:val="0"/>
                <w:color w:val="1F2937"/>
                <w:sz w:val="21"/>
              </w:rPr>
              <w:t>Modellierte die Silver Schicht für verlässliche Analytik über Schema Enforcement, sicheres Type Casting, Deduplikation per Window Functions und Genre Normalisierung in ein relationales Modell, messbar an der referenziellen Integrität in allen Gold Tabellen.</w:t>
            </w:r>
          </w:p>
          <w:p>
            <w:pPr>
              <w:spacing w:before="0" w:after="0" w:line="264" w:lineRule="auto"/>
              <w:ind w:left="170"/>
              <w:jc w:val="both"/>
            </w:pPr>
            <w:r>
              <w:rPr>
                <w:b/>
                <w:color w:val="B8663F"/>
                <w:sz w:val="21"/>
              </w:rPr>
              <w:t xml:space="preserve">• </w:t>
            </w:r>
            <w:r>
              <w:rPr>
                <w:b w:val="0"/>
                <w:color w:val="1F2937"/>
                <w:sz w:val="21"/>
              </w:rPr>
              <w:t>Trainierte einen BigQuery ML Klassifikator, der vor Kinostart vorhersagt, ob ein Film ein Hit wird, messbar an einer leakage freien Evaluation, indem Merkmale bewusst in zwei Tabellen aufgeteilt wurden, so dass nur Pre Release Signale ins Modell fließen.</w:t>
            </w:r>
          </w:p>
          <w:p>
            <w:pPr>
              <w:spacing w:before="0" w:after="0" w:line="264" w:lineRule="auto"/>
              <w:ind w:left="170"/>
              <w:jc w:val="both"/>
            </w:pPr>
            <w:r>
              <w:rPr>
                <w:b/>
                <w:color w:val="B8663F"/>
                <w:sz w:val="21"/>
              </w:rPr>
              <w:t xml:space="preserve">• </w:t>
            </w:r>
            <w:r>
              <w:rPr>
                <w:b w:val="0"/>
                <w:color w:val="1F2937"/>
                <w:sz w:val="21"/>
              </w:rPr>
              <w:t>Baute Gold Aggregate und ein fünfseitiges Looker Studio Dashboard, das konkrete Business Fragen zu Genre ROI, Wachstum fremdsprachiger Filme und Release Saison Timing beantwortet, messbar gegen die ML Early Warning Sicht, und sicherte das System mit einem Least Privilege Service Account und Secret Manager ab.</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Fast Food Nährwert Analyzer und Meal Simulator</w:t>
            </w:r>
          </w:p>
          <w:p>
            <w:pPr>
              <w:spacing w:before="0" w:after="0" w:line="264" w:lineRule="auto"/>
              <w:ind w:left="170"/>
              <w:jc w:val="both"/>
            </w:pPr>
            <w:r>
              <w:rPr>
                <w:b/>
                <w:color w:val="B8663F"/>
                <w:sz w:val="21"/>
              </w:rPr>
              <w:t xml:space="preserve">• </w:t>
            </w:r>
            <w:r>
              <w:rPr>
                <w:b w:val="0"/>
                <w:color w:val="1F2937"/>
                <w:sz w:val="21"/>
              </w:rPr>
              <w:t>Baute einen dynamischen Warenkorb in Tableau, messbar daran, dass Endnutzer Punkte im Scatter Plot auswählen und sofort Kalorien, Fett und Eiweiß eines simulierten Menüs summiert bekommen, umgesetzt mit Tableau Set Actions als Interaktionsschicht.</w:t>
            </w:r>
          </w:p>
          <w:p>
            <w:pPr>
              <w:spacing w:before="0" w:after="0" w:line="264" w:lineRule="auto"/>
              <w:ind w:left="170"/>
              <w:jc w:val="both"/>
            </w:pPr>
            <w:r>
              <w:rPr>
                <w:b/>
                <w:color w:val="B8663F"/>
                <w:sz w:val="21"/>
              </w:rPr>
              <w:t xml:space="preserve">• </w:t>
            </w:r>
            <w:r>
              <w:rPr>
                <w:b w:val="0"/>
                <w:color w:val="1F2937"/>
                <w:sz w:val="21"/>
              </w:rPr>
              <w:t>Setzte parameter gesteuerte Analytik um, mit dynamischer Y Achse gekoppelt an einen Zielparameter für Muskelaufbau oder Gewichtsverlust, messbar am konsistenten Achsenwechsel ohne Dashboard Reload, gestützt auf ein CASE Statement über den Parameter.</w:t>
            </w:r>
          </w:p>
          <w:p>
            <w:pPr>
              <w:spacing w:before="0" w:after="0" w:line="264" w:lineRule="auto"/>
              <w:ind w:left="170"/>
              <w:jc w:val="both"/>
            </w:pPr>
            <w:r>
              <w:rPr>
                <w:b/>
                <w:color w:val="B8663F"/>
                <w:sz w:val="21"/>
              </w:rPr>
              <w:t xml:space="preserve">• </w:t>
            </w:r>
            <w:r>
              <w:rPr>
                <w:b w:val="0"/>
                <w:color w:val="1F2937"/>
                <w:sz w:val="21"/>
              </w:rPr>
              <w:t>Formulierte komplexe IF THEN Calculated Fields für logische Gruppierung und eigene Flags wie ein Is It A Trap Flag für trügerisch fett und kalorienreiche Produkte, messbar über manuelle Stichproben gegen die Nährwertquelle.</w:t>
            </w:r>
          </w:p>
          <w:p>
            <w:pPr>
              <w:spacing w:before="0" w:after="0" w:line="264" w:lineRule="auto"/>
              <w:ind w:left="170"/>
              <w:jc w:val="both"/>
            </w:pPr>
            <w:r>
              <w:rPr>
                <w:b/>
                <w:color w:val="B8663F"/>
                <w:sz w:val="21"/>
              </w:rPr>
              <w:t xml:space="preserve">• </w:t>
            </w:r>
            <w:r>
              <w:rPr>
                <w:b w:val="0"/>
                <w:color w:val="1F2937"/>
                <w:sz w:val="21"/>
              </w:rPr>
              <w:t>Entwarf ein zweistufiges Layout mit Executive Makro Sicht und granularer Food Finder Sicht in einer farbenblind sicheren Dark Mode Palette, messbar an einem Ziel geringerer Time to Insight für Nicht Techniker.</w:t>
            </w:r>
          </w:p>
          <w:p>
            <w:pPr>
              <w:spacing w:before="10" w:after="0"/>
            </w:pPr>
            <w:r>
              <w:rPr>
                <w:b/>
                <w:color w:val="B8663F"/>
                <w:sz w:val="19"/>
              </w:rPr>
              <w:t xml:space="preserve">Technologies: </w:t>
            </w:r>
            <w:r>
              <w:rPr>
                <w:i/>
                <w:color w:val="6C7A93"/>
                <w:sz w:val="19"/>
              </w:rPr>
              <w:t>Tableau mit Set Actions, Parameter und Calculated Fields, Data Storytelling und UI oder UX</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Hybrider RAG Orchestrator mit agentischem Routing</w:t>
            </w:r>
          </w:p>
          <w:p>
            <w:pPr>
              <w:spacing w:before="0" w:after="0" w:line="264" w:lineRule="auto"/>
              <w:ind w:left="170"/>
              <w:jc w:val="both"/>
            </w:pPr>
            <w:r>
              <w:rPr>
                <w:b/>
                <w:color w:val="B8663F"/>
                <w:sz w:val="21"/>
              </w:rPr>
              <w:t xml:space="preserve">• </w:t>
            </w:r>
            <w:r>
              <w:rPr>
                <w:b w:val="0"/>
                <w:color w:val="1F2937"/>
                <w:sz w:val="21"/>
              </w:rPr>
              <w:t xml:space="preserve">Lieferte ein modulares Retrieval Augmented Generation System, das Nutzerintent in drei Ausführungspfade klassifiziert, lokale Wissensrecherche, externe Websuche oder direkte konversationelle Logik, messbar an sauberen end to end Antworten auf allen drei Pfaden, umgesetzt mit einem eigenen Decision Making Router über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und LangChain.</w:t>
            </w:r>
          </w:p>
          <w:p>
            <w:pPr>
              <w:spacing w:before="0" w:after="0" w:line="264" w:lineRule="auto"/>
              <w:ind w:left="170"/>
              <w:jc w:val="both"/>
            </w:pPr>
            <w:r>
              <w:rPr>
                <w:b/>
                <w:color w:val="B8663F"/>
                <w:sz w:val="21"/>
              </w:rPr>
              <w:t xml:space="preserve">• </w:t>
            </w:r>
            <w:r>
              <w:rPr>
                <w:b w:val="0"/>
                <w:color w:val="1F2937"/>
                <w:sz w:val="21"/>
              </w:rPr>
              <w:t>Baute ein persistentes semantisches Gedächtnis über PDF und Vektordaten auf, messbar an konsistenter Wiederfindung über Session Grenzen hinweg, gestützt auf ChromaDB mit lokaler Persistenz und HuggingFace MiniLM L6 v2 Embeddings.</w:t>
            </w:r>
          </w:p>
          <w:p>
            <w:pPr>
              <w:spacing w:before="0" w:after="0" w:line="264" w:lineRule="auto"/>
              <w:ind w:left="170"/>
              <w:jc w:val="both"/>
            </w:pPr>
            <w:r>
              <w:rPr>
                <w:b/>
                <w:color w:val="B8663F"/>
                <w:sz w:val="21"/>
              </w:rPr>
              <w:t xml:space="preserve">• </w:t>
            </w:r>
            <w:r>
              <w:rPr>
                <w:b w:val="0"/>
                <w:color w:val="1F2937"/>
                <w:sz w:val="21"/>
              </w:rPr>
              <w:t>Erhielt Mehrturn Kontext für das LLM, messbar an kohärenten Nachfragen statt isolierten Einzelantworten, indem ein zustandsbehafteter MemoryAgent direkt in die Inference Pipeline eingebaut wurde.</w:t>
            </w:r>
          </w:p>
          <w:p>
            <w:pPr>
              <w:spacing w:before="0" w:after="0" w:line="264" w:lineRule="auto"/>
              <w:ind w:left="170"/>
              <w:jc w:val="both"/>
            </w:pPr>
            <w:r>
              <w:rPr>
                <w:b/>
                <w:color w:val="B8663F"/>
                <w:sz w:val="21"/>
              </w:rPr>
              <w:t xml:space="preserve">• </w:t>
            </w:r>
            <w:r>
              <w:rPr>
                <w:b w:val="0"/>
                <w:color w:val="1F2937"/>
                <w:sz w:val="21"/>
              </w:rPr>
              <w:t>Lieferte das Gesamtsystem als Streamlit Interface aus, mit end to end Verantwortung, messbar an einem lauffähigen deployten Prototyp, gestützt auf Groq Inference und eine erweiterbare Routing Schicht.</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pPr>
      <w:r>
        <w:rPr>
          <w:color w:val="1F2937"/>
          <w:sz w:val="21"/>
        </w:rPr>
        <w:t>Englisch: C1 fließend. Deutsch: B1 laufend Richtung B2. Hindi: Muttersprache.</w:t>
      </w:r>
    </w:p>
    <w:p>
      <w:pPr>
        <w:spacing w:before="20" w:after="0" w:line="240" w:lineRule="auto"/>
      </w:pPr>
      <w:r>
        <w:rPr>
          <w:color w:val="1F2937"/>
          <w:sz w:val="21"/>
        </w:rPr>
        <w:t>Mannheim, 20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