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120" w:after="40"/>
        <w:jc w:val="left"/>
      </w:pPr>
      <w:r>
        <w:rPr>
          <w:rFonts w:ascii="Calibri" w:hAnsi="Calibri" w:cs="Calibri"/>
          <w:b/>
          <w:i w:val="0"/>
          <w:color w:val="0A2A5C"/>
          <w:sz w:val="25"/>
        </w:rPr>
        <w:t>PROFILE</w:t>
      </w:r>
    </w:p>
    <w:p>
      <w:pPr>
        <w:spacing w:before="0" w:after="80" w:line="276" w:lineRule="auto"/>
        <w:jc w:val="both"/>
        <w:pBdr>
          <w:bottom w:val="single" w:sz="6" w:space="6" w:color="808080"/>
        </w:pBdr>
      </w:pPr>
      <w:r>
        <w:rPr>
          <w:rFonts w:ascii="Calibri" w:hAnsi="Calibri" w:cs="Calibri"/>
          <w:b w:val="0"/>
          <w:i w:val="0"/>
          <w:color w:val="1A1A1A"/>
          <w:sz w:val="21"/>
        </w:rPr>
        <w:t>Data Science and Analytics Master student at SRH Heidelberg with hands on experience turning raw data into shipped machine learning solutions, not just analysis. My six month collaboration with eRay GmbH delivered a recursive time series forecasting pipeline on real sensor data, and my personal work spans classification with SHAP explainability, cloud data pipelines on GCP, and a Retrieval Augmented Generation system with a custom intent router. I combine strong Python and SQL fundamentals with clear storytelling for non technical stakeholders, and I am comfortable working remotely on UK time zones.</w:t>
      </w:r>
    </w:p>
    <w:p>
      <w:pPr>
        <w:spacing w:before="120" w:after="40"/>
        <w:jc w:val="left"/>
      </w:pPr>
      <w:r>
        <w:rPr>
          <w:rFonts w:ascii="Calibri" w:hAnsi="Calibri" w:cs="Calibri"/>
          <w:b/>
          <w:i w:val="0"/>
          <w:color w:val="0A2A5C"/>
          <w:sz w:val="25"/>
        </w:rPr>
        <w:t>EDUCATION</w:t>
      </w:r>
    </w:p>
    <w:p>
      <w:pPr>
        <w:tabs>
          <w:tab w:pos="10080" w:val="right"/>
        </w:tabs>
        <w:spacing w:before="0" w:after="0"/>
        <w:jc w:val="left"/>
      </w:pPr>
      <w:r>
        <w:rPr>
          <w:rFonts w:ascii="Calibri" w:hAnsi="Calibri" w:cs="Calibri"/>
          <w:b/>
          <w:i w:val="0"/>
          <w:color w:val="0A2A5C"/>
          <w:sz w:val="23"/>
        </w:rPr>
        <w:t>M.Sc. Data Science and Analytics</w:t>
      </w:r>
      <w:r>
        <w:rPr>
          <w:rFonts w:ascii="Calibri" w:hAnsi="Calibri" w:cs="Calibri"/>
          <w:b w:val="0"/>
          <w:i w:val="0"/>
          <w:color w:val="1A1A1A"/>
          <w:sz w:val="21"/>
        </w:rPr>
        <w:tab/>
        <w:t>Apr 2025 to Present</w:t>
      </w:r>
    </w:p>
    <w:p>
      <w:pPr>
        <w:spacing w:before="0" w:after="60"/>
        <w:jc w:val="left"/>
      </w:pPr>
      <w:r>
        <w:rPr>
          <w:rFonts w:ascii="Calibri" w:hAnsi="Calibri" w:cs="Calibri"/>
          <w:b w:val="0"/>
          <w:i/>
          <w:color w:val="1A1A1A"/>
          <w:sz w:val="21"/>
        </w:rPr>
        <w:t>SRH University of Applied Sciences Heidelberg</w:t>
      </w:r>
    </w:p>
    <w:p>
      <w:pPr>
        <w:tabs>
          <w:tab w:pos="10080" w:val="right"/>
        </w:tabs>
        <w:spacing w:before="0" w:after="0"/>
        <w:jc w:val="left"/>
      </w:pPr>
      <w:r>
        <w:rPr>
          <w:rFonts w:ascii="Calibri" w:hAnsi="Calibri" w:cs="Calibri"/>
          <w:b/>
          <w:i w:val="0"/>
          <w:color w:val="0A2A5C"/>
          <w:sz w:val="23"/>
        </w:rPr>
        <w:t>Bachelor of Technology in Computer Science</w:t>
      </w:r>
      <w:r>
        <w:rPr>
          <w:rFonts w:ascii="Calibri" w:hAnsi="Calibri" w:cs="Calibri"/>
          <w:b w:val="0"/>
          <w:i w:val="0"/>
          <w:color w:val="1A1A1A"/>
          <w:sz w:val="21"/>
        </w:rPr>
        <w:tab/>
        <w:t>2019 to 2023</w:t>
      </w:r>
    </w:p>
    <w:p>
      <w:pPr>
        <w:spacing w:before="0" w:after="60"/>
        <w:jc w:val="left"/>
      </w:pPr>
      <w:r>
        <w:rPr>
          <w:rFonts w:ascii="Calibri" w:hAnsi="Calibri" w:cs="Calibri"/>
          <w:b w:val="0"/>
          <w:i/>
          <w:color w:val="1A1A1A"/>
          <w:sz w:val="21"/>
        </w:rPr>
        <w:t>GL Bajaj Institute of Technology and Management</w:t>
      </w:r>
    </w:p>
    <w:p>
      <w:pPr>
        <w:spacing w:before="0" w:after="80"/>
        <w:pBdr>
          <w:bottom w:val="single" w:sz="6" w:space="1" w:color="808080"/>
        </w:pBdr>
      </w:pPr>
    </w:p>
    <w:p>
      <w:pPr>
        <w:spacing w:before="120" w:after="40"/>
        <w:jc w:val="left"/>
      </w:pPr>
      <w:r>
        <w:rPr>
          <w:rFonts w:ascii="Calibri" w:hAnsi="Calibri" w:cs="Calibri"/>
          <w:b/>
          <w:i w:val="0"/>
          <w:color w:val="0A2A5C"/>
          <w:sz w:val="25"/>
        </w:rPr>
        <w:t>EXPERIENCE</w:t>
      </w:r>
    </w:p>
    <w:p>
      <w:pPr>
        <w:spacing w:before="0" w:after="0"/>
        <w:jc w:val="left"/>
      </w:pPr>
      <w:r>
        <w:rPr>
          <w:rFonts w:ascii="Calibri" w:hAnsi="Calibri" w:cs="Calibri"/>
          <w:b/>
          <w:i w:val="0"/>
          <w:color w:val="0A2A5C"/>
          <w:sz w:val="23"/>
        </w:rPr>
        <w:t>eRay GmbH</w:t>
      </w:r>
    </w:p>
    <w:p>
      <w:pPr>
        <w:spacing w:before="0" w:after="60"/>
        <w:jc w:val="left"/>
      </w:pPr>
      <w:r>
        <w:rPr>
          <w:rFonts w:ascii="Calibri" w:hAnsi="Calibri" w:cs="Calibri"/>
          <w:b w:val="0"/>
          <w:i/>
          <w:color w:val="1A1A1A"/>
          <w:sz w:val="21"/>
        </w:rPr>
        <w:t>Data Scientist · Oct 2025 to Mar 2026</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Reconstructed missing winter readings with MICE imputation and engineered a synthetic winter decay forecast canvas so tree based models stopped flatlining during recursive prediction.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Wrapped the whole pipeline in an orchestrator with gate checks and velocity and ecological bounds that halts on failed imputation rather than letting bad data cascade downstream.</w:t>
      </w:r>
    </w:p>
    <w:p>
      <w:pPr>
        <w:spacing w:before="0" w:after="80"/>
        <w:pBdr>
          <w:bottom w:val="single" w:sz="6" w:space="1" w:color="808080"/>
        </w:pBdr>
      </w:pPr>
    </w:p>
    <w:p>
      <w:pPr>
        <w:spacing w:before="120" w:after="40"/>
        <w:jc w:val="left"/>
      </w:pPr>
      <w:r>
        <w:rPr>
          <w:rFonts w:ascii="Calibri" w:hAnsi="Calibri" w:cs="Calibri"/>
          <w:b/>
          <w:i w:val="0"/>
          <w:color w:val="0A2A5C"/>
          <w:sz w:val="25"/>
        </w:rPr>
        <w:t>PERSONAL PROJECTS</w:t>
      </w:r>
    </w:p>
    <w:p>
      <w:pPr>
        <w:spacing w:before="40" w:after="20"/>
        <w:jc w:val="left"/>
      </w:pPr>
      <w:r>
        <w:rPr>
          <w:rFonts w:ascii="Calibri" w:hAnsi="Calibri" w:cs="Calibri"/>
          <w:b/>
          <w:i w:val="0"/>
          <w:color w:val="0A2A5C"/>
          <w:sz w:val="23"/>
        </w:rPr>
        <w:t>Hybrid RAG Orchestrator</w:t>
      </w:r>
      <w:r>
        <w:rPr>
          <w:rFonts w:ascii="Calibri" w:hAnsi="Calibri" w:cs="Calibri"/>
          <w:b w:val="0"/>
          <w:i/>
          <w:color w:val="1A1A1A"/>
          <w:sz w:val="21"/>
        </w:rPr>
        <w:t>: Python, LangChain, Llama 3.1 8b via Groq, ChromaDB, HuggingFace MiniLM L6 v2, Streamlit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Designed a modular Retrieval Augmented Generation system using Llama 3.1 8b through Groq for high speed inference and LangChain for orchestration.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Engineered a custom decision making router that dynamically classifies user intent into three execution paths, local knowledge retrieval from a PDF vector store, external web search through DuckDuckGo, or direct conversational logic.</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Implemented ChromaDB with local persistence for document storage and used HuggingFace MiniLM L6 v2 for semantic embeddings across the retrieval corpus.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stateful MemoryAgent that maintains conversational context across multiple turns, integrated directly into the inference pipeline, and shipped the whole system behind a Streamlit interface end to end.</w:t>
      </w:r>
    </w:p>
    <w:p>
      <w:pPr>
        <w:spacing w:before="40" w:after="20"/>
        <w:jc w:val="left"/>
      </w:pPr>
      <w:r>
        <w:rPr>
          <w:rFonts w:ascii="Calibri" w:hAnsi="Calibri" w:cs="Calibri"/>
          <w:b/>
          <w:i w:val="0"/>
          <w:color w:val="0A2A5C"/>
          <w:sz w:val="23"/>
        </w:rPr>
        <w:t>CreditIQ, Fairness by Design Credit Scoring System</w:t>
      </w:r>
      <w:r>
        <w:rPr>
          <w:rFonts w:ascii="Calibri" w:hAnsi="Calibri" w:cs="Calibri"/>
          <w:b w:val="0"/>
          <w:i/>
          <w:color w:val="1A1A1A"/>
          <w:sz w:val="21"/>
        </w:rPr>
        <w:t>: Python, scikit learn, AIF360, SHAP, Streamlit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Lifted the model's Disparate Impact ratio from a failing 0.79 to a compliant 0.88, clearing the EU AI Act and AGG 80 percent fairness threshold.</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Cut the false negative rate from 44 percent to 16.7 percent while holding accuracy at 75 percent, documenting the fairness accuracy trade off as a deliberate and regulator defensible decision.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Shipped a Streamlit decision support tool giving finance managers a recommendation plus a plain language LLM generated explanation, keeping a human in the loop per GDPR Article 22 and EU AI Act Article 14.</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Backed the pipeline with unit tests at 100 percent branch coverage and a full regulatory write up covering EU AI Act Annex III, GDPR, a model card, and attack vectors.</w:t>
      </w:r>
    </w:p>
    <w:p>
      <w:pPr>
        <w:spacing w:before="40" w:after="20"/>
        <w:jc w:val="left"/>
      </w:pPr>
      <w:r>
        <w:rPr>
          <w:rFonts w:ascii="Calibri" w:hAnsi="Calibri" w:cs="Calibri"/>
          <w:b/>
          <w:i w:val="0"/>
          <w:color w:val="0A2A5C"/>
          <w:sz w:val="23"/>
        </w:rPr>
        <w:t>Movie Analytics and ML Pipeline, Cloud Native Data Platform</w:t>
      </w:r>
      <w:r>
        <w:rPr>
          <w:rFonts w:ascii="Calibri" w:hAnsi="Calibri" w:cs="Calibri"/>
          <w:b w:val="0"/>
          <w:i/>
          <w:color w:val="1A1A1A"/>
          <w:sz w:val="21"/>
        </w:rPr>
        <w:t>: GCP BigQuery, Cloud Run, GCS, Cloud Scheduler, BigQuery ML, Python, SQL, Looker Studio</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batch pipeline pulling movie data from a public API into a GCS data lake, processed through a Bronze to Silver to Gold medallion architecture in BigQuery, and fully automated on a Cloud Scheduler trigger with no manual steps.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Engineered the Silver layer for trustworthy analytics with schema enforcement, safe type casting, deduplication through window functions, and genre normalisation into a relational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Trained a BigQuery ML classifier to predict whether a film will be a hit before release, deliberately splitting features into two tables to prevent data leakage so that only pre release signals feed the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Gold layer aggregates and a five page Looker Studio dashboard answering concrete business questions on genre ROI, foreign language growth, and release season timing, plus an ML early warning view.</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Secured the system with a least privilege service account and Secret Manager and version controlled all code, SQL, and schemas in a reproducible GitHub repository.</w:t>
      </w:r>
    </w:p>
    <w:p>
      <w:pPr>
        <w:spacing w:before="0" w:after="80"/>
        <w:pBdr>
          <w:bottom w:val="single" w:sz="6" w:space="1" w:color="808080"/>
        </w:pBdr>
      </w:pPr>
    </w:p>
    <w:p>
      <w:pPr>
        <w:spacing w:before="120" w:after="40"/>
        <w:jc w:val="left"/>
      </w:pPr>
      <w:r>
        <w:rPr>
          <w:rFonts w:ascii="Calibri" w:hAnsi="Calibri" w:cs="Calibri"/>
          <w:b/>
          <w:i w:val="0"/>
          <w:color w:val="0A2A5C"/>
          <w:sz w:val="25"/>
        </w:rPr>
        <w:t>RESEARCH AND THESIS</w:t>
      </w:r>
    </w:p>
    <w:p>
      <w:pPr>
        <w:spacing w:before="0" w:after="0"/>
        <w:jc w:val="left"/>
      </w:pPr>
      <w:r>
        <w:rPr>
          <w:rFonts w:ascii="Calibri" w:hAnsi="Calibri" w:cs="Calibri"/>
          <w:b/>
          <w:i w:val="0"/>
          <w:color w:val="0A2A5C"/>
          <w:sz w:val="23"/>
        </w:rPr>
        <w:t>Bachelor Thesis, Diabetes Prediction Using Machine Learning</w:t>
      </w:r>
    </w:p>
    <w:p>
      <w:pPr>
        <w:spacing w:before="0" w:after="60"/>
        <w:jc w:val="left"/>
      </w:pPr>
      <w:r>
        <w:rPr>
          <w:rFonts w:ascii="Calibri" w:hAnsi="Calibri" w:cs="Calibri"/>
          <w:b w:val="0"/>
          <w:i/>
          <w:color w:val="1A1A1A"/>
          <w:sz w:val="21"/>
        </w:rPr>
        <w:t>GL Bajaj Institute of Technology and Management, IEEE style paper</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full end to end machine learning pipeline comparing six classifiers on a clinical diabetes dataset of 768 patients, using 10 fold cross validation and per model confusion matrices.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Caught biologically impossible zero values that the original authors had overlooked, then applied IQR based outlier removal and proper imputation to restore data integrity.</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Chose ROC AUC over accuracy as the headline metric for a 65 to 35 imbalanced dataset, avoiding a misleadingly rosy accuracy figure that would have hidden real error patterns.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Wrote up findings as an IEEE style paper including an honest section on limitations and what to do differently in a follow up study.</w:t>
      </w:r>
    </w:p>
    <w:p>
      <w:pPr>
        <w:spacing w:before="0" w:after="80"/>
        <w:pBdr>
          <w:bottom w:val="single" w:sz="6" w:space="1" w:color="808080"/>
        </w:pBdr>
      </w:pPr>
    </w:p>
    <w:p>
      <w:pPr>
        <w:spacing w:before="120" w:after="40"/>
        <w:jc w:val="left"/>
      </w:pPr>
      <w:r>
        <w:rPr>
          <w:rFonts w:ascii="Calibri" w:hAnsi="Calibri" w:cs="Calibri"/>
          <w:b/>
          <w:i w:val="0"/>
          <w:color w:val="0A2A5C"/>
          <w:sz w:val="25"/>
        </w:rPr>
        <w:t>LANGUAGES</w:t>
      </w:r>
    </w:p>
    <w:p>
      <w:pPr>
        <w:spacing w:before="0" w:after="60"/>
        <w:jc w:val="both"/>
        <w:pBdr>
          <w:bottom w:val="single" w:sz="6" w:space="6" w:color="808080"/>
        </w:pBdr>
      </w:pPr>
      <w:r>
        <w:rPr>
          <w:rFonts w:ascii="Calibri" w:hAnsi="Calibri" w:cs="Calibri"/>
          <w:b w:val="0"/>
          <w:i w:val="0"/>
          <w:color w:val="1A1A1A"/>
          <w:sz w:val="21"/>
        </w:rPr>
        <w:t>English: fluent, professional working proficiency. German: B1, in progress.</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