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Data Intelligence Center</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in Data Warehouse, BI und Cloud Analytics auf produktionsnahen Daten. Ich habe eine vollständig automatisierte Bronze Silver Gold BigQuery Medallion Pipeline mit BigQuery ML Klassifikator und fünfseitigem Looker Studio Dashboard geliefert, eine PySpark und dbt gestützte Echtzeit Flugverfolgungs Pipeline auf Google Cloud betrieben und ein interaktives Tableau Dashboard mit dynamischen Set Actions und parameter gesteuerter Analytik umgesetzt. Sicher in SQL, Python, dbt und Dashboarding Tools, bin ich die richtige Verstärkung für das Data Intelligence Center von Debeka in Koblenz.</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Entwickelte eine end to end rekursive Zeitreihen Pipeline zur Prognose von Chlorophyll a, Trübung, pH Wert und gelöstem Sauerstoff für einen deutschen See, umgesetzt als sechsmonatige Zusammenarbeit mit der SRH Hochschule Heidelberg.</w:t>
            </w:r>
          </w:p>
          <w:p>
            <w:pPr>
              <w:spacing w:before="0" w:after="0" w:line="264" w:lineRule="auto"/>
              <w:ind w:left="170"/>
              <w:jc w:val="both"/>
            </w:pPr>
            <w:r>
              <w:rPr>
                <w:b/>
                <w:color w:val="B8663F"/>
                <w:sz w:val="21"/>
              </w:rPr>
              <w:t xml:space="preserve">• </w:t>
            </w:r>
            <w:r>
              <w:rPr>
                <w:b w:val="0"/>
                <w:color w:val="1F2937"/>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spacing w:before="0" w:after="0" w:line="264" w:lineRule="auto"/>
              <w:ind w:left="170"/>
              <w:jc w:val="both"/>
            </w:pPr>
            <w:r>
              <w:rPr>
                <w:b/>
                <w:color w:val="B8663F"/>
                <w:sz w:val="21"/>
              </w:rPr>
              <w:t xml:space="preserve">• </w:t>
            </w:r>
            <w:r>
              <w:rPr>
                <w:b w:val="0"/>
                <w:color w:val="1F2937"/>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Rekonstruierte fehlende Winter Messwerte mit MICE Imputation und entwickelte einen synthetischen Winter Decay Prognose Rahmen, damit baumbasierte Modelle während der rekursiven Vorhersage nicht flach werden.</w:t>
            </w:r>
          </w:p>
          <w:p>
            <w:pPr>
              <w:spacing w:before="0" w:after="0" w:line="264" w:lineRule="auto"/>
              <w:ind w:left="170"/>
              <w:jc w:val="both"/>
            </w:pPr>
            <w:r>
              <w:rPr>
                <w:b/>
                <w:color w:val="B8663F"/>
                <w:sz w:val="21"/>
              </w:rPr>
              <w:t xml:space="preserve">• </w:t>
            </w:r>
            <w:r>
              <w:rPr>
                <w:b w:val="0"/>
                <w:color w:val="1F2937"/>
                <w:sz w:val="21"/>
              </w:rPr>
              <w:t>Umschloss die gesamte Pipeline mit einem Orchestrator, der Gate Checks sowie Geschwindigkeits und ökologische Grenzen prüft und bei fehlgeschlagener Imputation stoppt, statt schlechte Daten weiterfließen zu lassen.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und ML Pipeline auf GCP</w:t>
            </w:r>
          </w:p>
          <w:p>
            <w:pPr>
              <w:spacing w:before="0" w:after="0" w:line="264" w:lineRule="auto"/>
              <w:ind w:left="170"/>
              <w:jc w:val="both"/>
            </w:pPr>
            <w:r>
              <w:rPr>
                <w:b/>
                <w:color w:val="B8663F"/>
                <w:sz w:val="21"/>
              </w:rPr>
              <w:t xml:space="preserve">• </w:t>
            </w:r>
            <w:r>
              <w:rPr>
                <w:b w:val="0"/>
                <w:color w:val="1F2937"/>
                <w:sz w:val="21"/>
              </w:rPr>
              <w:t>Baute eine end to end Batch Pipeline, die Filmdaten aus einer öffentlichen API in einen GCS Data Lake zieht und sie über eine Bronze Silver Gold Medallion Architektur in BigQuery verarbeitet, messbar an einem vollständig automatisierten Cloud Scheduler Trigger ohne manuellen Eingriff, umgesetzt mit Cloud Run als Compute Layer.</w:t>
            </w:r>
          </w:p>
          <w:p>
            <w:pPr>
              <w:spacing w:before="0" w:after="0" w:line="264" w:lineRule="auto"/>
              <w:ind w:left="170"/>
              <w:jc w:val="both"/>
            </w:pPr>
            <w:r>
              <w:rPr>
                <w:b/>
                <w:color w:val="B8663F"/>
                <w:sz w:val="21"/>
              </w:rPr>
              <w:t xml:space="preserve">• </w:t>
            </w:r>
            <w:r>
              <w:rPr>
                <w:b w:val="0"/>
                <w:color w:val="1F2937"/>
                <w:sz w:val="21"/>
              </w:rPr>
              <w:t>Modellierte die Silver Schicht für verlässliche Analytik über Schema Enforcement, sicheres Type Casting, Deduplikation per Window Functions und Genre Normalisierung in ein relationales Modell, messbar an der referenziellen Integrität in allen Gold Tabellen.</w:t>
            </w:r>
          </w:p>
          <w:p>
            <w:pPr>
              <w:spacing w:before="0" w:after="0" w:line="264" w:lineRule="auto"/>
              <w:ind w:left="170"/>
              <w:jc w:val="both"/>
            </w:pPr>
            <w:r>
              <w:rPr>
                <w:b/>
                <w:color w:val="B8663F"/>
                <w:sz w:val="21"/>
              </w:rPr>
              <w:t xml:space="preserve">• </w:t>
            </w:r>
            <w:r>
              <w:rPr>
                <w:b w:val="0"/>
                <w:color w:val="1F2937"/>
                <w:sz w:val="21"/>
              </w:rPr>
              <w:t>Trainierte einen BigQuery ML Klassifikator, der vor Kinostart vorhersagt, ob ein Film ein Hit wird, messbar an einer leakage freien Evaluation, indem Merkmale bewusst in zwei Tabellen aufgeteilt wurden, so dass nur Pre Release Signale ins Modell fließen.</w:t>
            </w:r>
          </w:p>
          <w:p>
            <w:pPr>
              <w:spacing w:before="0" w:after="0" w:line="264" w:lineRule="auto"/>
              <w:ind w:left="170"/>
              <w:jc w:val="both"/>
            </w:pPr>
            <w:r>
              <w:rPr>
                <w:b/>
                <w:color w:val="B8663F"/>
                <w:sz w:val="21"/>
              </w:rPr>
              <w:t xml:space="preserve">• </w:t>
            </w:r>
            <w:r>
              <w:rPr>
                <w:b w:val="0"/>
                <w:color w:val="1F2937"/>
                <w:sz w:val="21"/>
              </w:rPr>
              <w:t>Baute Gold Aggregate und ein fünfseitiges Looker Studio Dashboard, das konkrete Business Fragen zu Genre ROI, Wachstum fremdsprachiger Filme und Release Saison Timing beantwortet, messbar gegen die ML Early Warning Sicht, und sicherte das System mit einem Least Privilege Service Account und Secret Manager ab.</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Echtzeit Flugverfolgungs Pipeline</w:t>
            </w:r>
          </w:p>
          <w:p>
            <w:pPr>
              <w:spacing w:before="0" w:after="0" w:line="264" w:lineRule="auto"/>
              <w:ind w:left="170"/>
              <w:jc w:val="both"/>
            </w:pPr>
            <w:r>
              <w:rPr>
                <w:b/>
                <w:color w:val="B8663F"/>
                <w:sz w:val="21"/>
              </w:rPr>
              <w:t xml:space="preserve">• </w:t>
            </w:r>
            <w:r>
              <w:rPr>
                <w:b w:val="0"/>
                <w:color w:val="1F2937"/>
                <w:sz w:val="21"/>
              </w:rPr>
              <w:t>Sammelte alle 30 Sekunden Live Flugpositionen von der OpenSky Network API und reicherte sie über vier Quellen aus Flughafen, Flugzeug und Wetterdaten an, messbar an einer sauberen Join Tabelle mit über 128 tausend Datensätzen, umgesetzt mit Python Collectors und PySpark Cleaning auf Google Cloud.</w:t>
            </w:r>
          </w:p>
          <w:p>
            <w:pPr>
              <w:spacing w:before="0" w:after="0" w:line="264" w:lineRule="auto"/>
              <w:ind w:left="170"/>
              <w:jc w:val="both"/>
            </w:pPr>
            <w:r>
              <w:rPr>
                <w:b/>
                <w:color w:val="B8663F"/>
                <w:sz w:val="21"/>
              </w:rPr>
              <w:t xml:space="preserve">• </w:t>
            </w:r>
            <w:r>
              <w:rPr>
                <w:b w:val="0"/>
                <w:color w:val="1F2937"/>
                <w:sz w:val="21"/>
              </w:rPr>
              <w:t>Formte die Rohdaten mit dbt in analysebereite Tabellen und berechnete dabei den nächstgelegenen Flughafen jedes Flugzeugs, messbar an konsistenten Labels über den gesamten Zeitraum, gestützt auf PySpark für den Rechenaufwand und dbt für die Modellierungsschicht.</w:t>
            </w:r>
          </w:p>
          <w:p>
            <w:pPr>
              <w:spacing w:before="0" w:after="0" w:line="264" w:lineRule="auto"/>
              <w:ind w:left="170"/>
              <w:jc w:val="both"/>
            </w:pPr>
            <w:r>
              <w:rPr>
                <w:b/>
                <w:color w:val="B8663F"/>
                <w:sz w:val="21"/>
              </w:rPr>
              <w:t xml:space="preserve">• </w:t>
            </w:r>
            <w:r>
              <w:rPr>
                <w:b w:val="0"/>
                <w:color w:val="1F2937"/>
                <w:sz w:val="21"/>
              </w:rPr>
              <w:t xml:space="preserve">Orchestrierte das Gesamtsystem mit Apache Airflow, so dass sich Batch und Echtzeit Schichten automatisch alle </w:t>
            </w:r>
            <w:r>
              <w:rPr>
                <w:b/>
                <w:color w:val="1F3A5F"/>
                <w:sz w:val="21"/>
              </w:rPr>
              <w:t>15 Minute</w:t>
            </w:r>
            <w:r>
              <w:rPr>
                <w:b w:val="0"/>
                <w:color w:val="1F2937"/>
                <w:sz w:val="21"/>
              </w:rPr>
              <w:t>n aktualisieren, messbar an unbeaufsichtigten DAG Läufen auf GCS Speicher und Dataproc Compute.</w:t>
            </w:r>
          </w:p>
          <w:p>
            <w:pPr>
              <w:spacing w:before="0" w:after="0" w:line="264" w:lineRule="auto"/>
              <w:ind w:left="170"/>
              <w:jc w:val="both"/>
            </w:pPr>
            <w:r>
              <w:rPr>
                <w:b/>
                <w:color w:val="B8663F"/>
                <w:sz w:val="21"/>
              </w:rPr>
              <w:t xml:space="preserve">• </w:t>
            </w:r>
            <w:r>
              <w:rPr>
                <w:b w:val="0"/>
                <w:color w:val="1F2937"/>
                <w:sz w:val="21"/>
              </w:rPr>
              <w:t>Visualisierte Erkenntnisse in einem Tableau Workbook mit Python Statistik über TabPy, messbar an der Erkenntnis, dass der Luftverkehr bei starkem Regen um Faktor 4,4 einbricht und sich um Drehkreuze wie Frankfurt und München bündelt, gestützt auf dbt Aggregate als Feed.</w:t>
            </w:r>
          </w:p>
          <w:p>
            <w:pPr>
              <w:spacing w:before="10" w:after="0"/>
            </w:pPr>
            <w:r>
              <w:rPr>
                <w:b/>
                <w:color w:val="B8663F"/>
                <w:sz w:val="19"/>
              </w:rPr>
              <w:t xml:space="preserve">Technologies: </w:t>
            </w:r>
            <w:r>
              <w:rPr>
                <w:i/>
                <w:color w:val="6C7A93"/>
                <w:sz w:val="19"/>
              </w:rPr>
              <w:t>Python, PySpark, BigQuery, dbt, Apache Airflow, GCP Dataproc und GCS, Tableau mit TabPy</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Fast Food Nährwert Analyzer und Meal Simulator</w:t>
            </w:r>
          </w:p>
          <w:p>
            <w:pPr>
              <w:spacing w:before="0" w:after="0" w:line="264" w:lineRule="auto"/>
              <w:ind w:left="170"/>
              <w:jc w:val="both"/>
            </w:pPr>
            <w:r>
              <w:rPr>
                <w:b/>
                <w:color w:val="B8663F"/>
                <w:sz w:val="21"/>
              </w:rPr>
              <w:t xml:space="preserve">• </w:t>
            </w:r>
            <w:r>
              <w:rPr>
                <w:b w:val="0"/>
                <w:color w:val="1F2937"/>
                <w:sz w:val="21"/>
              </w:rPr>
              <w:t>Baute einen dynamischen Warenkorb in Tableau, messbar daran, dass Endnutzer Punkte im Scatter Plot auswählen und sofort Kalorien, Fett und Eiweiß eines simulierten Menüs summiert bekommen, umgesetzt mit Tableau Set Actions als Interaktionsschicht.</w:t>
            </w:r>
          </w:p>
          <w:p>
            <w:pPr>
              <w:spacing w:before="0" w:after="0" w:line="264" w:lineRule="auto"/>
              <w:ind w:left="170"/>
              <w:jc w:val="both"/>
            </w:pPr>
            <w:r>
              <w:rPr>
                <w:b/>
                <w:color w:val="B8663F"/>
                <w:sz w:val="21"/>
              </w:rPr>
              <w:t xml:space="preserve">• </w:t>
            </w:r>
            <w:r>
              <w:rPr>
                <w:b w:val="0"/>
                <w:color w:val="1F2937"/>
                <w:sz w:val="21"/>
              </w:rPr>
              <w:t>Setzte parameter gesteuerte Analytik um, mit dynamischer Y Achse gekoppelt an einen Zielparameter für Muskelaufbau oder Gewichtsverlust, messbar am konsistenten Achsenwechsel ohne Dashboard Reload, gestützt auf ein CASE Statement über den Parameter.</w:t>
            </w:r>
          </w:p>
          <w:p>
            <w:pPr>
              <w:spacing w:before="0" w:after="0" w:line="264" w:lineRule="auto"/>
              <w:ind w:left="170"/>
              <w:jc w:val="both"/>
            </w:pPr>
            <w:r>
              <w:rPr>
                <w:b/>
                <w:color w:val="B8663F"/>
                <w:sz w:val="21"/>
              </w:rPr>
              <w:t xml:space="preserve">• </w:t>
            </w:r>
            <w:r>
              <w:rPr>
                <w:b w:val="0"/>
                <w:color w:val="1F2937"/>
                <w:sz w:val="21"/>
              </w:rPr>
              <w:t>Formulierte komplexe IF THEN Calculated Fields für logische Gruppierung und eigene Flags wie ein Is It A Trap Flag für trügerisch fett und kalorienreiche Produkte, messbar über manuelle Stichproben gegen die Nährwertquelle.</w:t>
            </w:r>
          </w:p>
          <w:p>
            <w:pPr>
              <w:spacing w:before="0" w:after="0" w:line="264" w:lineRule="auto"/>
              <w:ind w:left="170"/>
              <w:jc w:val="both"/>
            </w:pPr>
            <w:r>
              <w:rPr>
                <w:b/>
                <w:color w:val="B8663F"/>
                <w:sz w:val="21"/>
              </w:rPr>
              <w:t xml:space="preserve">• </w:t>
            </w:r>
            <w:r>
              <w:rPr>
                <w:b w:val="0"/>
                <w:color w:val="1F2937"/>
                <w:sz w:val="21"/>
              </w:rPr>
              <w:t>Entwarf ein zweistufiges Layout mit Executive Makro Sicht und granularer Food Finder Sicht in einer farbenblind sicheren Dark Mode Palette, messbar an einem Ziel geringerer Time to Insight für Nicht Techniker.</w:t>
            </w:r>
          </w:p>
          <w:p>
            <w:pPr>
              <w:spacing w:before="10" w:after="0"/>
            </w:pPr>
            <w:r>
              <w:rPr>
                <w:b/>
                <w:color w:val="B8663F"/>
                <w:sz w:val="19"/>
              </w:rPr>
              <w:t xml:space="preserve">Technologies: </w:t>
            </w:r>
            <w:r>
              <w:rPr>
                <w:i/>
                <w:color w:val="6C7A93"/>
                <w:sz w:val="19"/>
              </w:rPr>
              <w:t>Tableau mit Set Actions, Parameter und Calculated Fields, Data Storytelling und UI oder UX</w:t>
            </w:r>
          </w:p>
          <w:p>
            <w:pPr>
              <w:spacing w:before="10" w:after="0"/>
            </w:pPr>
            <w:r>
              <w:rPr>
                <w:b/>
                <w:color w:val="B8663F"/>
                <w:sz w:val="19"/>
              </w:rPr>
              <w:t xml:space="preserve">Live: </w:t>
            </w:r>
            <w:r>
              <w:rPr>
                <w:i/>
                <w:color w:val="6C7A93"/>
                <w:sz w:val="19"/>
              </w:rPr>
              <w:t>public.tableau.com/shared/YC6Y4ZBM5</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Entwickelte eine vollständige end to end Machine Learning Pipeline mit sechs Klassifikatoren auf einem klinischen Datensatz von </w:t>
            </w:r>
            <w:r>
              <w:rPr>
                <w:b/>
                <w:color w:val="1F3A5F"/>
                <w:sz w:val="21"/>
              </w:rPr>
              <w:t>768 Patient</w:t>
            </w:r>
            <w:r>
              <w:rPr>
                <w:b w:val="0"/>
                <w:color w:val="1F2937"/>
                <w:sz w:val="21"/>
              </w:rPr>
              <w:t>innen und Patienten, gestützt auf 10 fache Kreuzvalidierung und pro Modell erstellte Konfusionsmatrizen, damit der Modellvergleich prüfbar bleibt.</w:t>
            </w:r>
          </w:p>
          <w:p>
            <w:pPr>
              <w:spacing w:before="0" w:after="0" w:line="264" w:lineRule="auto"/>
              <w:ind w:left="170"/>
              <w:jc w:val="both"/>
            </w:pPr>
            <w:r>
              <w:rPr>
                <w:b/>
                <w:color w:val="B8663F"/>
                <w:sz w:val="21"/>
              </w:rPr>
              <w:t xml:space="preserve">• </w:t>
            </w:r>
            <w:r>
              <w:rPr>
                <w:b w:val="0"/>
                <w:color w:val="1F2937"/>
                <w:sz w:val="21"/>
              </w:rPr>
              <w:t>Erkannte biologisch unmögliche Nullwerte, die die Originalautoren übersehen hatten, und entfernte diese über IQR basierte Ausreißerbehandlung und saubere Imputation, um die Datenintegrität vor jedem Modelltraining wiederherzustellen.</w:t>
            </w:r>
          </w:p>
          <w:p>
            <w:pPr>
              <w:spacing w:before="0" w:after="0" w:line="264" w:lineRule="auto"/>
              <w:ind w:left="170"/>
              <w:jc w:val="both"/>
            </w:pPr>
            <w:r>
              <w:rPr>
                <w:b/>
                <w:color w:val="B8663F"/>
                <w:sz w:val="21"/>
              </w:rPr>
              <w:t xml:space="preserve">• </w:t>
            </w:r>
            <w:r>
              <w:rPr>
                <w:b w:val="0"/>
                <w:color w:val="1F2937"/>
                <w:sz w:val="21"/>
              </w:rPr>
              <w:t>Wählte ROC AUC statt Genauigkeit als Leitmetrik für einen unausgeglichenen Datensatz mit 65 zu 35 Verteilung, um eine trügerisch schöne Genauigkeit zu vermeiden, die reale Fehler in der Minderheitsklasse verdeckt hätte.</w:t>
            </w:r>
          </w:p>
          <w:p>
            <w:pPr>
              <w:spacing w:before="0" w:after="0" w:line="264" w:lineRule="auto"/>
              <w:ind w:left="170"/>
              <w:jc w:val="both"/>
            </w:pPr>
            <w:r>
              <w:rPr>
                <w:b/>
                <w:color w:val="B8663F"/>
                <w:sz w:val="21"/>
              </w:rPr>
              <w:t xml:space="preserve">• </w:t>
            </w:r>
            <w:r>
              <w:rPr>
                <w:b w:val="0"/>
                <w:color w:val="1F2937"/>
                <w:sz w:val="21"/>
              </w:rPr>
              <w:t>Verfasste die Ergebnisse als IEEE Paper mit einem ehrlichen Abschnitt zu Grenzen und Verbesserungsvorschlägen für eine Folgestudie, in Substanz veröffentlichungsreif.</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pPr>
      <w:r>
        <w:rPr>
          <w:color w:val="1F2937"/>
          <w:sz w:val="21"/>
        </w:rPr>
        <w:t>Englisch: C1 fließend. Deutsch: B1 laufend Richtung B2. Hindi: Muttersprache.</w:t>
      </w:r>
    </w:p>
    <w:p>
      <w:pPr>
        <w:spacing w:before="20" w:after="0" w:line="240" w:lineRule="auto"/>
      </w:pPr>
      <w:r>
        <w:rPr>
          <w:color w:val="1F2937"/>
          <w:sz w:val="21"/>
        </w:rPr>
        <w:t>Mannheim, 20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