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20. Juli 2026</w:t>
      </w:r>
    </w:p>
    <w:p>
      <w:r>
        <w:rPr>
          <w:b/>
          <w:color w:val="1F3A5F"/>
          <w:sz w:val="23"/>
        </w:rPr>
        <w:t>Drägerwerk AG und Co. KGaA</w:t>
      </w:r>
    </w:p>
    <w:p>
      <w:r>
        <w:rPr>
          <w:color w:val="1F2937"/>
          <w:sz w:val="21"/>
        </w:rPr>
        <w:t>Personalabteilung</w:t>
      </w:r>
    </w:p>
    <w:p>
      <w:r>
        <w:rPr>
          <w:b/>
          <w:color w:val="1F3A5F"/>
          <w:sz w:val="22"/>
        </w:rPr>
        <w:t>Bewerbung: Praktikum Künstliche Intelligenz und maschinelles Lernen für interne Prozessoptimierung in Lübeck</w:t>
      </w:r>
    </w:p>
    <w:p>
      <w:r>
        <w:rPr>
          <w:color w:val="1F2937"/>
          <w:sz w:val="21"/>
        </w:rPr>
        <w:t>Sehr geehrte Damen und Herren,</w:t>
      </w:r>
    </w:p>
    <w:p>
      <w:pPr>
        <w:spacing w:line="324" w:lineRule="auto"/>
        <w:jc w:val="both"/>
      </w:pPr>
      <w:r>
        <w:rPr>
          <w:color w:val="1F2937"/>
          <w:sz w:val="21"/>
        </w:rPr>
        <w:t>hiermit bewerbe ich mich für das Praktikum Künstliche Intelligenz und maschinelles Lernen für interne Prozessoptimierung am Standort Lübeck. Die Ausschreibung, die Entwicklung von Vorhersagemodellen und intelligenten Systemen für betriebliche Effizienz und Entscheidungsprozesse, die Analyse großer Datenmengen und die Zusammenarbeit mit einem interdisziplinären Team aus Controlling, Produktion und IT, deckt sich direkt mit dem, was ich im laufenden Master und in der Praxis bei eRay GmbH gebaut habe.</w:t>
      </w:r>
    </w:p>
    <w:p>
      <w:pPr>
        <w:spacing w:line="324" w:lineRule="auto"/>
        <w:jc w:val="both"/>
      </w:pPr>
      <w:r>
        <w:rPr>
          <w:color w:val="1F2937"/>
          <w:sz w:val="21"/>
        </w:rPr>
        <w:t>Bei eRay GmbH habe ich eine end to end rekursive Zeitreihen Pipeline zur Prognose von Chlorophyll a, Trübung, pH Wert und gelöstem Sauerstoff geliefert, sechs Modelle direkt verglichen und CatBoost Multi Quantil Regression für asymmetrische 80 Prozent Vorhersageintervalle eingesetzt, mit strengen Anti Leakage Regeln über die gesamte Pipeline hinweg. In CreditIQ habe ich Machine Learning Modelle rigoros gegen Fairness Grenzwerte validiert, die False Negative Rate von 44 Prozent auf 16,7 Prozent gesenkt bei stabiler Genauigkeit von 75 Prozent und die Pipeline mit Unit Tests bei 100 Prozent Branch Coverage abgesichert.</w:t>
      </w:r>
    </w:p>
    <w:p>
      <w:pPr>
        <w:spacing w:line="324" w:lineRule="auto"/>
        <w:jc w:val="both"/>
      </w:pPr>
      <w:r>
        <w:rPr>
          <w:color w:val="1F2937"/>
          <w:sz w:val="21"/>
        </w:rPr>
        <w:t>Mein Hybrider RAG Orchestrator ist ein lauffähiges KI System, das Nutzerintent über einen eigenen Decision Making Router in drei Ausführungspfade klassifiziert und dabei Llama 3.1 8b via Groq mit LangChain, ChromaDB und HuggingFace MiniLM L6 v2 Embeddings kombiniert. In meiner Movie Analytics und ML Pipeline auf GCP habe ich eine vollständig automatisierte Bronze Silver Gold Medallion Architektur in BigQuery gebaut, mit leakage freiem BigQuery ML Klassifikator und einem fünfseitigen Looker Studio Dashboard, das entspricht der Reporting Seite, die intelligente Systeme in einem Produktionsumfeld tragen müssen.</w:t>
      </w:r>
    </w:p>
    <w:p>
      <w:pPr>
        <w:spacing w:line="324" w:lineRule="auto"/>
        <w:jc w:val="both"/>
      </w:pPr>
      <w:r>
        <w:rPr>
          <w:color w:val="1F2937"/>
          <w:sz w:val="21"/>
        </w:rPr>
        <w:t>Ich arbeite sicher in Python mit scikit learn und pandas, kenne SQL Datenbanken und habe erste Berührungspunkte mit Apache Spark und Databricks nahen Plattformen. Ich bin im vierten Semester des M.Sc. Data Science and Analytics eingeschrieben und mein aktuelles Deutschniveau ist B1 in Bearbeitung. Sehr gerne stelle ich mich in einem persönlichen Gespräch vor und unterstütze das Corporate Technology und Innovation Team ab dem gewünschten Startdatum.</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