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Data Science und Machine Learning im Spritzguss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in Mannheim, mit Praxis im Aufbau produktionsnaher Machine Learning Pipelines auf realen Sensor und Prozessdaten. Bei eRay GmbH habe ich eine rekursive Zeitreihen Pipeline geliefert, die vier Wasserqualitaetsindikatoren prognostiziert und sechs Modelle direkt vergleicht, mit CatBoost Multi Quantil Regression fuer 80 Prozent Vorhersageintervalle. Sicher in Python, scikit learn, CatBoost, LightGBM, XGBoost und Prophet, mit klarem Blick fuer Datenqualitaet, Anti Leakage und robuste Modellbewertung.</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Für ein SRH Heidelberg Projekt zu reguliertem Credit Scoring, bei dem ein Baseline Modell die 80 Prozent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0,79 auf einen konformen 0,88 hob.</w:t>
            </w:r>
          </w:p>
          <w:p>
            <w:pPr>
              <w:spacing w:before="0" w:after="0" w:line="264" w:lineRule="auto"/>
              <w:ind w:left="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0" w:after="0" w:line="264" w:lineRule="auto"/>
              <w:ind w:left="170"/>
              <w:jc w:val="both"/>
            </w:pPr>
            <w:r>
              <w:rPr>
                <w:b/>
                <w:color w:val="B8663F"/>
                <w:sz w:val="21"/>
              </w:rPr>
              <w:t xml:space="preserve">• </w:t>
            </w:r>
            <w:r>
              <w:rPr>
                <w:b w:val="0"/>
                <w:color w:val="1F2937"/>
                <w:sz w:val="21"/>
              </w:rPr>
              <w:t>Bei einer großen False Negative Rate, die stumm gute Bewerber ablehnte, mit dem Auftrag diese zu senken bei belastbarer Gesamtgenauigkeit, wurde der Fairness Accuracy Trade off als bewusste und regulatorisch belastbare Entscheidung dokumentiert, was die False Negative Rate von 44 Prozent auf 16,7 Prozent senkte, während die Genauigkeit am Held Out Test Split bei 75 Prozent blieb.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