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Analytics und AI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Data Analytics, Machine Learning und Reporting auf realen Betriebsdaten. Ich habe ein interaktives Tableau Dashboard mit dynamischen Set Actions und parametergesteuerten Analytiken ausgeliefert, eine vollstaendig automatisierte Bronze Silver Gold Medallion Pipeline in BigQuery mit BigQuery ML Klassifikator und fuenfseitigem Looker Studio Dashboard umgesetzt und ein Random Forest basiertes Klimarisiko Projekt mit klaren Reports fuer nicht technische Stakeholder abgeschlossen. Sicher in Python, SQL und BI Werkzeugen und mit ausgepraegtem Blick fuer Datenqualitaet, bin ich die richtige Verstaerkung fuer das Data Analytics und AI Team bei GEA Hilge in Bodenheim im Raum Mainz.</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Für ein Tableau Dashboard Projekt, in dem Nutzer Fast Food Nährwerte erkunden und ein Menü simulieren sollten statt nur Charts zu filtern, mit dem Auftrag die Interaktionsschicht zu bauen, wurde ein dynamischer Warenkorb mit Tableau Set Actions umgesetzt, so dass Endnutzer Punkte im Scatter Plot auswählen und sofort Kalorien, Fett und Eiweiß eines simulierten Menüs summiert bekommen.</w:t>
            </w:r>
          </w:p>
          <w:p>
            <w:pPr>
              <w:spacing w:before="0" w:after="0" w:line="264" w:lineRule="auto"/>
              <w:ind w:left="170"/>
              <w:jc w:val="both"/>
            </w:pPr>
            <w:r>
              <w:rPr>
                <w:b/>
                <w:color w:val="B8663F"/>
                <w:sz w:val="21"/>
              </w:rPr>
              <w:t xml:space="preserve">• </w:t>
            </w:r>
            <w:r>
              <w:rPr>
                <w:b w:val="0"/>
                <w:color w:val="1F2937"/>
                <w:sz w:val="21"/>
              </w:rPr>
              <w:t>Da eine statische Y Achse weder Muskelaufbau noch Gewichtsverlust gleichzeitig unterstützen konnte, mit dem Auftrag dem Betrachter das Umschalten ohne Reload zu ermöglichen, wurde parameter gesteuerte Analytik mit einer dynamischen Y Achse an einen Zielparameter gekoppelt und per CASE Statement umgesetzt, was konsistenten Achsenwechsel ohne Dashboard Reload ergab.</w:t>
            </w:r>
          </w:p>
          <w:p>
            <w:pPr>
              <w:spacing w:before="0" w:after="0" w:line="264" w:lineRule="auto"/>
              <w:ind w:left="170"/>
              <w:jc w:val="both"/>
            </w:pPr>
            <w:r>
              <w:rPr>
                <w:b/>
                <w:color w:val="B8663F"/>
                <w:sz w:val="21"/>
              </w:rPr>
              <w:t xml:space="preserve">• </w:t>
            </w:r>
            <w:r>
              <w:rPr>
                <w:b w:val="0"/>
                <w:color w:val="1F2937"/>
                <w:sz w:val="21"/>
              </w:rPr>
              <w:t>Da trügerisch fett und kalorienreiche Produkte in den Rohdaten harmlos wirkten, mit dem Auftrag sie sichtbar zu machen, wurden komplexe IF THEN Calculated Fields für logische Gruppierung und eigene Flags wie ein Is It A Trap Flag formuliert, die die kritischen Produkte in manuellen Stichproben gegen die Nährwertquelle korrekt markierten.</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