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1F5F6B"/>
          <w:sz w:val="38"/>
        </w:rPr>
        <w:t>Rahul Rawat</w:t>
      </w:r>
    </w:p>
    <w:p>
      <w:pPr>
        <w:spacing w:after="40"/>
      </w:pPr>
      <w:r>
        <w:rPr>
          <w:rFonts w:ascii="Calibri" w:hAnsi="Calibri"/>
          <w:b/>
          <w:i w:val="0"/>
          <w:color w:val="B8663F"/>
          <w:sz w:val="20"/>
        </w:rPr>
        <w:t>DATA ANALYST</w:t>
      </w:r>
    </w:p>
    <w:p>
      <w:pPr>
        <w:spacing w:after="40"/>
      </w:pPr>
      <w:r>
        <w:rPr>
          <w:rFonts w:ascii="Calibri" w:hAnsi="Calibri"/>
          <w:b w:val="0"/>
          <w:i w:val="0"/>
          <w:color w:val="2B2F3A"/>
          <w:sz w:val="20"/>
        </w:rPr>
        <w:t>rahulrawat2r@gmail.com  •  015563603340  •  linkedin.com/in/rahulrawat2r  •  github.com/rahulrawat20022002  •  Mannheim, Germany</w:t>
      </w:r>
    </w:p>
    <w:p>
      <w:pPr>
        <w:spacing w:before="40" w:after="80"/>
        <w:pBdr>
          <w:bottom w:val="single" w:sz="6" w:space="1" w:color="D0D0D0"/>
        </w:pBdr>
      </w:pPr>
    </w:p>
    <w:p>
      <w:pPr>
        <w:spacing w:before="80" w:after="60"/>
      </w:pPr>
      <w:r>
        <w:rPr>
          <w:rFonts w:ascii="Calibri" w:hAnsi="Calibri"/>
          <w:b/>
          <w:i w:val="0"/>
          <w:color w:val="1F5F6B"/>
          <w:sz w:val="25"/>
        </w:rPr>
        <w:t>PROFILE</w:t>
      </w:r>
    </w:p>
    <w:p>
      <w:pPr>
        <w:spacing w:after="40"/>
        <w:jc w:val="both"/>
      </w:pPr>
      <w:r>
        <w:rPr>
          <w:rFonts w:ascii="Calibri" w:hAnsi="Calibri"/>
          <w:b w:val="0"/>
          <w:i w:val="0"/>
          <w:color w:val="2B2F3A"/>
          <w:sz w:val="21"/>
        </w:rPr>
        <w:t>Data Science and Analytics Master student at SRH Heidelberg based in Mannheim, with hands on experience building interactive dashboards and BI stories from raw operational data. I have shipped a two tier Tableau dashboard with dynamic parameters and Set Actions, a five page Looker Studio dashboard on top of a BigQuery medallion warehouse, and a Random Forest study translating raw event data into stakeholder ready insight. Comfortable with Power BI style tools, SQL, and clean data storytelling, I am well suited to strengthen HSEQ reporting at HanseWerk.</w:t>
      </w:r>
    </w:p>
    <w:p>
      <w:pPr>
        <w:spacing w:before="40" w:after="80"/>
        <w:pBdr>
          <w:bottom w:val="single" w:sz="6" w:space="1" w:color="D0D0D0"/>
        </w:pBdr>
      </w:pPr>
    </w:p>
    <w:p>
      <w:pPr>
        <w:spacing w:before="80" w:after="60"/>
      </w:pPr>
      <w:r>
        <w:rPr>
          <w:rFonts w:ascii="Calibri" w:hAnsi="Calibri"/>
          <w:b/>
          <w:i w:val="0"/>
          <w:color w:val="1F5F6B"/>
          <w:sz w:val="25"/>
        </w:rPr>
        <w:t>EXPERIENCE</w:t>
      </w:r>
    </w:p>
    <w:p>
      <w:pPr>
        <w:tabs>
          <w:tab w:pos="10426" w:val="right"/>
        </w:tabs>
        <w:spacing w:before="40" w:after="20"/>
      </w:pPr>
      <w:r>
        <w:rPr>
          <w:rFonts w:ascii="Calibri" w:hAnsi="Calibri"/>
          <w:b/>
          <w:i w:val="0"/>
          <w:color w:val="1F5F6B"/>
          <w:sz w:val="23"/>
        </w:rPr>
        <w:t>eRay GmbH</w:t>
      </w:r>
      <w:r>
        <w:tab/>
      </w:r>
      <w:r>
        <w:rPr>
          <w:rFonts w:ascii="Calibri" w:hAnsi="Calibri"/>
          <w:b/>
          <w:i w:val="0"/>
          <w:color w:val="B8663F"/>
          <w:sz w:val="20"/>
        </w:rPr>
        <w:t>Oct 2025 to Mar 2026</w:t>
      </w:r>
    </w:p>
    <w:p>
      <w:pPr>
        <w:spacing w:after="20"/>
      </w:pPr>
      <w:r>
        <w:rPr>
          <w:rFonts w:ascii="Calibri" w:hAnsi="Calibri"/>
          <w:b w:val="0"/>
          <w:i/>
          <w:color w:val="7A6B58"/>
          <w:sz w:val="21"/>
        </w:rPr>
        <w:t>Data Scientist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recursive time series pipeline forecasting chlorophyll a, turbidity, pH, and dissolved oxygen for a German lake, delivered as a six month collaboration with SRH University Heidelberg.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Enforced strict anti leakage rules across the pipeline, surfacing the honest finding that pH and dissolved oxygen are physically predictable while chlorophyll a and turbidity are not without live optical sensors.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Reconstructed missing winter readings with MICE imputation and engineered a synthetic winter decay forecast canvas so tree based models stopped flatlining during recursive prediction on a limited prediction horizon.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Wrapped the whole pipeline in an orchestrator with gate checks and velocity and ecological bounds that halts on failed imputation rather than letting bad data cascade downstream.</w:t>
      </w:r>
    </w:p>
    <w:p>
      <w:pPr>
        <w:spacing w:before="40" w:after="80"/>
        <w:pBdr>
          <w:bottom w:val="single" w:sz="6" w:space="1" w:color="D0D0D0"/>
        </w:pBdr>
      </w:pPr>
    </w:p>
    <w:p>
      <w:pPr>
        <w:spacing w:before="80" w:after="60"/>
      </w:pPr>
      <w:r>
        <w:rPr>
          <w:rFonts w:ascii="Calibri" w:hAnsi="Calibri"/>
          <w:b/>
          <w:i w:val="0"/>
          <w:color w:val="1F5F6B"/>
          <w:sz w:val="25"/>
        </w:rPr>
        <w:t>EDUCATION</w:t>
      </w:r>
    </w:p>
    <w:p>
      <w:pPr>
        <w:tabs>
          <w:tab w:pos="10426" w:val="right"/>
        </w:tabs>
        <w:spacing w:before="40" w:after="20"/>
      </w:pPr>
      <w:r>
        <w:rPr>
          <w:rFonts w:ascii="Calibri" w:hAnsi="Calibri"/>
          <w:b/>
          <w:i w:val="0"/>
          <w:color w:val="1F5F6B"/>
          <w:sz w:val="23"/>
        </w:rPr>
        <w:t>M.Sc. Data Science and Analytics</w:t>
      </w:r>
      <w:r>
        <w:tab/>
      </w:r>
      <w:r>
        <w:rPr>
          <w:rFonts w:ascii="Calibri" w:hAnsi="Calibri"/>
          <w:b/>
          <w:i w:val="0"/>
          <w:color w:val="B8663F"/>
          <w:sz w:val="20"/>
        </w:rPr>
        <w:t>Apr 2025 to Present</w:t>
      </w:r>
    </w:p>
    <w:p>
      <w:pPr>
        <w:spacing w:after="20"/>
      </w:pPr>
      <w:r>
        <w:rPr>
          <w:rFonts w:ascii="Calibri" w:hAnsi="Calibri"/>
          <w:b w:val="0"/>
          <w:i/>
          <w:color w:val="7A6B58"/>
          <w:sz w:val="21"/>
        </w:rPr>
        <w:t>SRH University of Applied Sciences Heidelberg</w:t>
      </w:r>
    </w:p>
    <w:p>
      <w:pPr>
        <w:tabs>
          <w:tab w:pos="10426" w:val="right"/>
        </w:tabs>
        <w:spacing w:before="40" w:after="20"/>
      </w:pPr>
      <w:r>
        <w:rPr>
          <w:rFonts w:ascii="Calibri" w:hAnsi="Calibri"/>
          <w:b/>
          <w:i w:val="0"/>
          <w:color w:val="1F5F6B"/>
          <w:sz w:val="23"/>
        </w:rPr>
        <w:t>Bachelor of Technology in Computer Science</w:t>
      </w:r>
      <w:r>
        <w:tab/>
      </w:r>
      <w:r>
        <w:rPr>
          <w:rFonts w:ascii="Calibri" w:hAnsi="Calibri"/>
          <w:b/>
          <w:i w:val="0"/>
          <w:color w:val="B8663F"/>
          <w:sz w:val="20"/>
        </w:rPr>
        <w:t>2019 to 2023</w:t>
      </w:r>
    </w:p>
    <w:p>
      <w:pPr>
        <w:spacing w:after="20"/>
      </w:pPr>
      <w:r>
        <w:rPr>
          <w:rFonts w:ascii="Calibri" w:hAnsi="Calibri"/>
          <w:b w:val="0"/>
          <w:i/>
          <w:color w:val="7A6B58"/>
          <w:sz w:val="21"/>
        </w:rPr>
        <w:t>GL Bajaj Institute of Technology and Management</w:t>
      </w:r>
    </w:p>
    <w:p>
      <w:pPr>
        <w:spacing w:before="40" w:after="80"/>
        <w:pBdr>
          <w:bottom w:val="single" w:sz="6" w:space="1" w:color="D0D0D0"/>
        </w:pBdr>
      </w:pPr>
    </w:p>
    <w:p>
      <w:pPr>
        <w:spacing w:before="80" w:after="60"/>
      </w:pPr>
      <w:r>
        <w:rPr>
          <w:rFonts w:ascii="Calibri" w:hAnsi="Calibri"/>
          <w:b/>
          <w:i w:val="0"/>
          <w:color w:val="1F5F6B"/>
          <w:sz w:val="25"/>
        </w:rPr>
        <w:t>PERSONAL PROJECTS</w:t>
      </w:r>
    </w:p>
    <w:p>
      <w:pPr>
        <w:spacing w:before="60" w:after="20"/>
      </w:pPr>
      <w:r>
        <w:rPr>
          <w:rFonts w:ascii="Calibri" w:hAnsi="Calibri"/>
          <w:b/>
          <w:i w:val="0"/>
          <w:color w:val="1F5F6B"/>
          <w:sz w:val="23"/>
        </w:rPr>
        <w:t xml:space="preserve">Fast Food Nutritional Analyzer and Meal Simulator: </w:t>
      </w:r>
      <w:r>
        <w:rPr>
          <w:rFonts w:ascii="Calibri" w:hAnsi="Calibri"/>
          <w:b w:val="0"/>
          <w:i/>
          <w:color w:val="7A6B58"/>
          <w:sz w:val="21"/>
        </w:rPr>
        <w:t>Tableau with Set Actions Dashboard Actions parameters and calculated fields, data storytelling, UI and UX</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dynamic shopping cart using Tableau Set Actions, letting users select scatter plot points to instantly total calories, fat, and protein for a simulated meal.</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Implemented parameter driven analytics with a dynamic Y axis via a CASE statement tied to a user controlled goal parameter for muscle gain versus weight loss.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Authored complex order of operation IF THEN calculated fields for logical grouping and custom flags such as Is It A Trap for deceptive high fat and high calorie items.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Designed a two tier layout with an executive macro view and a granular food finder, using a colour blind safe dark mode palette to reduce time to insight.</w:t>
      </w:r>
    </w:p>
    <w:p>
      <w:pPr>
        <w:spacing w:before="60" w:after="20"/>
      </w:pPr>
      <w:r>
        <w:rPr>
          <w:rFonts w:ascii="Calibri" w:hAnsi="Calibri"/>
          <w:b/>
          <w:i w:val="0"/>
          <w:color w:val="1F5F6B"/>
          <w:sz w:val="23"/>
        </w:rPr>
        <w:t xml:space="preserve">Movie Analytics and ML Pipeline, Cloud Native Data Platform: </w:t>
      </w:r>
      <w:r>
        <w:rPr>
          <w:rFonts w:ascii="Calibri" w:hAnsi="Calibri"/>
          <w:b w:val="0"/>
          <w:i/>
          <w:color w:val="7A6B58"/>
          <w:sz w:val="21"/>
        </w:rPr>
        <w:t>GCP BigQuery, Cloud Run, GCS, Cloud Scheduler, BigQuery ML, Python, SQL, Looker Studio</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an end to end batch pipeline pulling data from a public API into a GCS data lake, processed through Bronze to Silver to Gold medallion architecture in BigQuery, fully automated on a Cloud Scheduler trigger with no manual steps.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Engineered the Silver layer for trustworthy analytics with schema enforcement, safe type casting, deduplication via window functions, and normalisation into a relational model.</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Trained a BigQuery ML classifier to predict whether a film will be a hit before release, deliberately splitting features into two tables to prevent data leakage and keeping only pre release signals.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Gold layer aggregates and a five page Looker Studio dashboard answering concrete business questions on genre ROI, foreign language growth, and release season timing, plus an ML early warning view.</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Secured the system with a least privilege service account and Secret Manager and version controlled all code, SQL, and schemas in a reproducible GitHub repository.</w:t>
      </w:r>
    </w:p>
    <w:p>
      <w:pPr>
        <w:spacing w:before="60" w:after="20"/>
      </w:pPr>
      <w:r>
        <w:rPr>
          <w:rFonts w:ascii="Calibri" w:hAnsi="Calibri"/>
          <w:b/>
          <w:i w:val="0"/>
          <w:color w:val="1F5F6B"/>
          <w:sz w:val="23"/>
        </w:rPr>
        <w:t xml:space="preserve">Economic Impact Analysis of Global Climate Events: </w:t>
      </w:r>
      <w:r>
        <w:rPr>
          <w:rFonts w:ascii="Calibri" w:hAnsi="Calibri"/>
          <w:b w:val="0"/>
          <w:i/>
          <w:color w:val="7A6B58"/>
          <w:sz w:val="21"/>
        </w:rPr>
        <w:t>Python with Pandas and scikit learn, Random Forest, statistical modelling, Matplotlib and Seaborn</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Executed an end to end data science project transforming raw global event datasets into structured insights for resource allocation and risk assessment.</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Performed advanced data preparation and cleansing across outliers, imputation, and normalisation to build a high quality data foundation before any modelling.</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Developed Random Forest models to analyse correlations between event duration and financial impact, extracting clear business relevant insights on where economic risk concentrates.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Communicated complex statistical findings to non technical stakeholders through comprehensive visual reports and calibrated confidence statements.</w:t>
      </w:r>
    </w:p>
    <w:p>
      <w:pPr>
        <w:spacing w:before="40" w:after="80"/>
        <w:pBdr>
          <w:bottom w:val="single" w:sz="6" w:space="1" w:color="D0D0D0"/>
        </w:pBdr>
      </w:pPr>
    </w:p>
    <w:p>
      <w:pPr>
        <w:spacing w:before="80" w:after="60"/>
      </w:pPr>
      <w:r>
        <w:rPr>
          <w:rFonts w:ascii="Calibri" w:hAnsi="Calibri"/>
          <w:b/>
          <w:i w:val="0"/>
          <w:color w:val="1F5F6B"/>
          <w:sz w:val="25"/>
        </w:rPr>
        <w:t>RESEARCH AND THESIS</w:t>
      </w:r>
    </w:p>
    <w:p>
      <w:pPr>
        <w:spacing w:before="40" w:after="20"/>
      </w:pPr>
      <w:r>
        <w:rPr>
          <w:rFonts w:ascii="Calibri" w:hAnsi="Calibri"/>
          <w:b/>
          <w:i w:val="0"/>
          <w:color w:val="1F5F6B"/>
          <w:sz w:val="23"/>
        </w:rPr>
        <w:t>Bachelor Thesis, Diabetes Prediction Using Machine Learning</w:t>
      </w:r>
    </w:p>
    <w:p>
      <w:pPr>
        <w:spacing w:after="20"/>
      </w:pPr>
      <w:r>
        <w:rPr>
          <w:rFonts w:ascii="Calibri" w:hAnsi="Calibri"/>
          <w:b w:val="0"/>
          <w:i/>
          <w:color w:val="7A6B58"/>
          <w:sz w:val="21"/>
        </w:rPr>
        <w:t>GL Bajaj Institute of Technology and Management, IEEE style paper</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Built a full end to end machine learning pipeline comparing six classifiers on a clinical dataset of 768 patients, using 10 fold cross validation and per model confusion matrices.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Caught biologically impossible zero values that the original authors had overlooked, then applied IQR based outlier removal and proper imputation to restore data integrity.</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Chose ROC AUC over accuracy as the headline metric for a 65 to 35 imbalanced dataset, avoiding a misleadingly rosy accuracy figure that would have hidden real error patterns.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Wrote up findings as an IEEE style paper including an honest section on limitations and what to do differently in a follow up study.</w:t>
      </w:r>
    </w:p>
    <w:p>
      <w:pPr>
        <w:spacing w:before="40" w:after="80"/>
        <w:pBdr>
          <w:bottom w:val="single" w:sz="6" w:space="1" w:color="D0D0D0"/>
        </w:pBdr>
      </w:pPr>
    </w:p>
    <w:p>
      <w:pPr>
        <w:spacing w:before="80" w:after="60"/>
      </w:pPr>
      <w:r>
        <w:rPr>
          <w:rFonts w:ascii="Calibri" w:hAnsi="Calibri"/>
          <w:b/>
          <w:i w:val="0"/>
          <w:color w:val="1F5F6B"/>
          <w:sz w:val="25"/>
        </w:rPr>
        <w:t>CERTIFICATIONS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SAS Certified Specialist, Visual Business Analytics Using SAS Viya: issued May 2025.</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Google Data Analytics, Foundations, Data, Data, Everywhere: issued April 2025 on Coursera.</w:t>
      </w:r>
    </w:p>
    <w:p>
      <w:pPr>
        <w:spacing w:before="40" w:after="80"/>
        <w:pBdr>
          <w:bottom w:val="single" w:sz="6" w:space="1" w:color="D0D0D0"/>
        </w:pBdr>
      </w:pPr>
    </w:p>
    <w:p>
      <w:pPr>
        <w:spacing w:before="80" w:after="60"/>
      </w:pPr>
      <w:r>
        <w:rPr>
          <w:rFonts w:ascii="Calibri" w:hAnsi="Calibri"/>
          <w:b/>
          <w:i w:val="0"/>
          <w:color w:val="1F5F6B"/>
          <w:sz w:val="25"/>
        </w:rPr>
        <w:t>ACHIEVEMENTS</w:t>
      </w:r>
    </w:p>
    <w:p>
      <w:pPr>
        <w:spacing w:after="20"/>
        <w:ind w:left="340"/>
        <w:jc w:val="both"/>
      </w:pPr>
      <w:r>
        <w:rPr>
          <w:rFonts w:ascii="Calibri" w:hAnsi="Calibri"/>
          <w:b/>
          <w:i w:val="0"/>
          <w:color w:val="B8663F"/>
          <w:sz w:val="21"/>
        </w:rPr>
        <w:t xml:space="preserve">• </w:t>
      </w:r>
      <w:r>
        <w:rPr>
          <w:rFonts w:ascii="Calibri" w:hAnsi="Calibri"/>
          <w:b w:val="0"/>
          <w:i w:val="0"/>
          <w:color w:val="2B2F3A"/>
          <w:sz w:val="21"/>
        </w:rPr>
        <w:t>USAII Global AI Hackathon 2026: Finalist at Graduate Level, awarded by the United States Artificial Intelligence Institute for innovation, technical creativity, and applied AI on real world challenges.</w:t>
      </w:r>
    </w:p>
    <w:p>
      <w:pPr>
        <w:spacing w:before="40" w:after="80"/>
        <w:pBdr>
          <w:bottom w:val="single" w:sz="6" w:space="1" w:color="D0D0D0"/>
        </w:pBdr>
      </w:pPr>
    </w:p>
    <w:p>
      <w:pPr>
        <w:spacing w:before="80" w:after="60"/>
      </w:pPr>
      <w:r>
        <w:rPr>
          <w:rFonts w:ascii="Calibri" w:hAnsi="Calibri"/>
          <w:b/>
          <w:i w:val="0"/>
          <w:color w:val="1F5F6B"/>
          <w:sz w:val="25"/>
        </w:rPr>
        <w:t>LANGUAGES</w:t>
      </w:r>
    </w:p>
    <w:p>
      <w:pPr>
        <w:jc w:val="both"/>
      </w:pPr>
      <w:r>
        <w:rPr>
          <w:rFonts w:ascii="Calibri" w:hAnsi="Calibri"/>
          <w:b w:val="0"/>
          <w:i w:val="0"/>
          <w:color w:val="2B2F3A"/>
          <w:sz w:val="21"/>
        </w:rPr>
        <w:t>English: fluent, professional working proficiency. German: B1, in progress.</w:t>
      </w:r>
    </w:p>
    <w:sectPr w:rsidR="00FC693F" w:rsidRPr="0006063C" w:rsidSect="00034616">
      <w:pgSz w:w="12240" w:h="15840"/>
      <w:pgMar w:top="680" w:right="907" w:bottom="68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