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i w:val="0"/>
          <w:color w:val="1F5F6B"/>
          <w:sz w:val="38"/>
        </w:rPr>
        <w:t>Rahul Rawat</w:t>
      </w:r>
    </w:p>
    <w:p>
      <w:pPr>
        <w:spacing w:after="40"/>
      </w:pPr>
      <w:r>
        <w:rPr>
          <w:rFonts w:ascii="Calibri" w:hAnsi="Calibri"/>
          <w:b/>
          <w:i w:val="0"/>
          <w:color w:val="B8663F"/>
          <w:sz w:val="20"/>
        </w:rPr>
        <w:t>MACHINE LEARNING ENGINEER</w:t>
      </w:r>
    </w:p>
    <w:p>
      <w:pPr>
        <w:spacing w:after="40"/>
      </w:pPr>
      <w:r>
        <w:rPr>
          <w:rFonts w:ascii="Calibri" w:hAnsi="Calibri"/>
          <w:b w:val="0"/>
          <w:i w:val="0"/>
          <w:color w:val="2B2F3A"/>
          <w:sz w:val="20"/>
        </w:rPr>
        <w:t>rahulrawat2r@gmail.com  •  015563603340  •  linkedin.com/in/rahulrawat2r  •  github.com/rahulrawat20022002  •  Mannheim, Germany</w:t>
      </w:r>
    </w:p>
    <w:p>
      <w:pPr>
        <w:spacing w:before="40" w:after="80"/>
        <w:pBdr>
          <w:bottom w:val="single" w:sz="6" w:space="1" w:color="D0D0D0"/>
        </w:pBdr>
      </w:pPr>
    </w:p>
    <w:p>
      <w:pPr>
        <w:spacing w:before="80" w:after="60"/>
      </w:pPr>
      <w:r>
        <w:rPr>
          <w:rFonts w:ascii="Calibri" w:hAnsi="Calibri"/>
          <w:b/>
          <w:i w:val="0"/>
          <w:color w:val="1F5F6B"/>
          <w:sz w:val="25"/>
        </w:rPr>
        <w:t>PROFILE</w:t>
      </w:r>
    </w:p>
    <w:p>
      <w:pPr>
        <w:spacing w:after="40"/>
        <w:jc w:val="both"/>
      </w:pPr>
      <w:r>
        <w:rPr>
          <w:rFonts w:ascii="Calibri" w:hAnsi="Calibri"/>
          <w:b w:val="0"/>
          <w:i w:val="0"/>
          <w:color w:val="2B2F3A"/>
          <w:sz w:val="21"/>
        </w:rPr>
        <w:t>Data Science and Analytics Master student at SRH Heidelberg based in Mannheim, with hands on experience shipping neural network and machine learning projects on real world data. I have built a fairness aware credit scoring system with a full EU regulatory write up, a recursive time series forecasting pipeline for a German lake, and a modular Retrieval Augmented Generation system on Llama 3.1. Comfortable in Python, PyTorch friendly workflows, and cloud data pipelines, I am well positioned to apply machine learning and neural networks to automation problems at INP Gruppe.</w:t>
      </w:r>
    </w:p>
    <w:p>
      <w:pPr>
        <w:spacing w:before="40" w:after="80"/>
        <w:pBdr>
          <w:bottom w:val="single" w:sz="6" w:space="1" w:color="D0D0D0"/>
        </w:pBdr>
      </w:pPr>
    </w:p>
    <w:p>
      <w:pPr>
        <w:spacing w:before="80" w:after="60"/>
      </w:pPr>
      <w:r>
        <w:rPr>
          <w:rFonts w:ascii="Calibri" w:hAnsi="Calibri"/>
          <w:b/>
          <w:i w:val="0"/>
          <w:color w:val="1F5F6B"/>
          <w:sz w:val="25"/>
        </w:rPr>
        <w:t>EXPERIENCE</w:t>
      </w:r>
    </w:p>
    <w:p>
      <w:pPr>
        <w:tabs>
          <w:tab w:pos="10426" w:val="right"/>
        </w:tabs>
        <w:spacing w:before="40" w:after="20"/>
      </w:pPr>
      <w:r>
        <w:rPr>
          <w:rFonts w:ascii="Calibri" w:hAnsi="Calibri"/>
          <w:b/>
          <w:i w:val="0"/>
          <w:color w:val="1F5F6B"/>
          <w:sz w:val="23"/>
        </w:rPr>
        <w:t>eRay GmbH</w:t>
      </w:r>
      <w:r>
        <w:tab/>
      </w:r>
      <w:r>
        <w:rPr>
          <w:rFonts w:ascii="Calibri" w:hAnsi="Calibri"/>
          <w:b/>
          <w:i w:val="0"/>
          <w:color w:val="B8663F"/>
          <w:sz w:val="20"/>
        </w:rPr>
        <w:t>Oct 2025 to Mar 2026</w:t>
      </w:r>
    </w:p>
    <w:p>
      <w:pPr>
        <w:spacing w:after="20"/>
      </w:pPr>
      <w:r>
        <w:rPr>
          <w:rFonts w:ascii="Calibri" w:hAnsi="Calibri"/>
          <w:b w:val="0"/>
          <w:i/>
          <w:color w:val="7A6B58"/>
          <w:sz w:val="21"/>
        </w:rPr>
        <w:t>Data Scientist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an end to end recursive time series pipeline forecasting chlorophyll a, turbidity, pH, and dissolved oxygen for a German lake, delivered as a six month collaboration with SRH University Heidelberg.</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Enforced strict anti leakage rules across the pipeline, surfacing the honest finding that pH and dissolved oxygen are physically predictable while chlorophyll a and turbidity are not without live optical sensors.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Reconstructed missing winter readings with MICE imputation and engineered a synthetic winter decay forecast canvas so tree based models stopped flatlining during recursive prediction on a limited prediction horizon.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Wrapped the whole pipeline in an orchestrator with gate checks and velocity and ecological bounds that halts on failed imputation rather than letting bad data cascade downstream.</w:t>
      </w:r>
    </w:p>
    <w:p>
      <w:pPr>
        <w:spacing w:before="40" w:after="80"/>
        <w:pBdr>
          <w:bottom w:val="single" w:sz="6" w:space="1" w:color="D0D0D0"/>
        </w:pBdr>
      </w:pPr>
    </w:p>
    <w:p>
      <w:pPr>
        <w:spacing w:before="80" w:after="60"/>
      </w:pPr>
      <w:r>
        <w:rPr>
          <w:rFonts w:ascii="Calibri" w:hAnsi="Calibri"/>
          <w:b/>
          <w:i w:val="0"/>
          <w:color w:val="1F5F6B"/>
          <w:sz w:val="25"/>
        </w:rPr>
        <w:t>EDUCATION</w:t>
      </w:r>
    </w:p>
    <w:p>
      <w:pPr>
        <w:tabs>
          <w:tab w:pos="10426" w:val="right"/>
        </w:tabs>
        <w:spacing w:before="40" w:after="20"/>
      </w:pPr>
      <w:r>
        <w:rPr>
          <w:rFonts w:ascii="Calibri" w:hAnsi="Calibri"/>
          <w:b/>
          <w:i w:val="0"/>
          <w:color w:val="1F5F6B"/>
          <w:sz w:val="23"/>
        </w:rPr>
        <w:t>M.Sc. Data Science and Analytics</w:t>
      </w:r>
      <w:r>
        <w:tab/>
      </w:r>
      <w:r>
        <w:rPr>
          <w:rFonts w:ascii="Calibri" w:hAnsi="Calibri"/>
          <w:b/>
          <w:i w:val="0"/>
          <w:color w:val="B8663F"/>
          <w:sz w:val="20"/>
        </w:rPr>
        <w:t>Apr 2025 to Present</w:t>
      </w:r>
    </w:p>
    <w:p>
      <w:pPr>
        <w:spacing w:after="20"/>
      </w:pPr>
      <w:r>
        <w:rPr>
          <w:rFonts w:ascii="Calibri" w:hAnsi="Calibri"/>
          <w:b w:val="0"/>
          <w:i/>
          <w:color w:val="7A6B58"/>
          <w:sz w:val="21"/>
        </w:rPr>
        <w:t>SRH University of Applied Sciences Heidelberg</w:t>
      </w:r>
    </w:p>
    <w:p>
      <w:pPr>
        <w:tabs>
          <w:tab w:pos="10426" w:val="right"/>
        </w:tabs>
        <w:spacing w:before="40" w:after="20"/>
      </w:pPr>
      <w:r>
        <w:rPr>
          <w:rFonts w:ascii="Calibri" w:hAnsi="Calibri"/>
          <w:b/>
          <w:i w:val="0"/>
          <w:color w:val="1F5F6B"/>
          <w:sz w:val="23"/>
        </w:rPr>
        <w:t>Bachelor of Technology in Computer Science</w:t>
      </w:r>
      <w:r>
        <w:tab/>
      </w:r>
      <w:r>
        <w:rPr>
          <w:rFonts w:ascii="Calibri" w:hAnsi="Calibri"/>
          <w:b/>
          <w:i w:val="0"/>
          <w:color w:val="B8663F"/>
          <w:sz w:val="20"/>
        </w:rPr>
        <w:t>2019 to 2023</w:t>
      </w:r>
    </w:p>
    <w:p>
      <w:pPr>
        <w:spacing w:after="20"/>
      </w:pPr>
      <w:r>
        <w:rPr>
          <w:rFonts w:ascii="Calibri" w:hAnsi="Calibri"/>
          <w:b w:val="0"/>
          <w:i/>
          <w:color w:val="7A6B58"/>
          <w:sz w:val="21"/>
        </w:rPr>
        <w:t>GL Bajaj Institute of Technology and Management</w:t>
      </w:r>
    </w:p>
    <w:p>
      <w:pPr>
        <w:spacing w:before="40" w:after="80"/>
        <w:pBdr>
          <w:bottom w:val="single" w:sz="6" w:space="1" w:color="D0D0D0"/>
        </w:pBdr>
      </w:pPr>
    </w:p>
    <w:p>
      <w:pPr>
        <w:spacing w:before="80" w:after="60"/>
      </w:pPr>
      <w:r>
        <w:rPr>
          <w:rFonts w:ascii="Calibri" w:hAnsi="Calibri"/>
          <w:b/>
          <w:i w:val="0"/>
          <w:color w:val="1F5F6B"/>
          <w:sz w:val="25"/>
        </w:rPr>
        <w:t>PERSONAL PROJECTS</w:t>
      </w:r>
    </w:p>
    <w:p>
      <w:pPr>
        <w:spacing w:before="60" w:after="20"/>
      </w:pPr>
      <w:r>
        <w:rPr>
          <w:rFonts w:ascii="Calibri" w:hAnsi="Calibri"/>
          <w:b/>
          <w:i w:val="0"/>
          <w:color w:val="1F5F6B"/>
          <w:sz w:val="23"/>
        </w:rPr>
        <w:t xml:space="preserve">Hybrid RAG Orchestrator: </w:t>
      </w:r>
      <w:r>
        <w:rPr>
          <w:rFonts w:ascii="Calibri" w:hAnsi="Calibri"/>
          <w:b w:val="0"/>
          <w:i/>
          <w:color w:val="7A6B58"/>
          <w:sz w:val="21"/>
        </w:rPr>
        <w:t>Python, LangChain, Llama 3.1 8b via Groq, ChromaDB, HuggingFace MiniLM L6 v2, Streamlit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Designed a modular Retrieval Augmented Generation system using Llama 3.1 8b via Groq for high speed inference and LangChain for orchestration.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Engineered a custom decision making router that dynamically classifies user intent into three execution paths, local knowledge retrieval from PDF and vector store, external web search via DuckDuckGo, or direct conversational logic.</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Implemented ChromaDB with local persistence for document storage, using HuggingFace MiniLM L6 v2 for semantic embeddings and a stateful memory agent that maintains conversational context across multiple turns.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Shipped end to end behind a Streamlit interface with full ownership from prototype to deployed tool.</w:t>
      </w:r>
    </w:p>
    <w:p>
      <w:pPr>
        <w:spacing w:before="60" w:after="20"/>
      </w:pPr>
      <w:r>
        <w:rPr>
          <w:rFonts w:ascii="Calibri" w:hAnsi="Calibri"/>
          <w:b/>
          <w:i w:val="0"/>
          <w:color w:val="1F5F6B"/>
          <w:sz w:val="23"/>
        </w:rPr>
        <w:t xml:space="preserve">CreditIQ, Fairness by Design Credit Scoring System: </w:t>
      </w:r>
      <w:r>
        <w:rPr>
          <w:rFonts w:ascii="Calibri" w:hAnsi="Calibri"/>
          <w:b w:val="0"/>
          <w:i/>
          <w:color w:val="7A6B58"/>
          <w:sz w:val="21"/>
        </w:rPr>
        <w:t>Python, scikit learn, AIF360, SHAP, Streamlit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Lifted the model's Disparate Impact ratio from a failing 0.79 to a compliant 0.88, clearing the EU AI Act and AGG 80 percent fairness threshold, an exercise in defensible modelling under EU regulation.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Diagnosed a hidden intersectional bias where younger women were still being penalised even after single axis age bias was fixed, using SHAP, then designed a four way age by gender threshold matrix to correct it without over correcting into reverse discrimination.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Cut the false negative rate from 44 percent to 16.7 percent while holding accuracy at 75 percent, documenting the fairness accuracy trade off as a deliberate and regulator defensible decision.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Shipped a Streamlit decision support tool giving finance managers a recommendation plus a plain language LLM generated explanation, keeping a human in the loop per GDPR Article 22 and EU AI Act Article 14.</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Backed the pipeline with unit tests at 100 percent branch coverage and a full regulatory write up covering EU AI Act Annex III, GDPR, a model card, and attack vectors.</w:t>
      </w:r>
    </w:p>
    <w:p>
      <w:pPr>
        <w:spacing w:before="60" w:after="20"/>
      </w:pPr>
      <w:r>
        <w:rPr>
          <w:rFonts w:ascii="Calibri" w:hAnsi="Calibri"/>
          <w:b/>
          <w:i w:val="0"/>
          <w:color w:val="1F5F6B"/>
          <w:sz w:val="23"/>
        </w:rPr>
        <w:t xml:space="preserve">Economic Impact Analysis of Global Climate Events: </w:t>
      </w:r>
      <w:r>
        <w:rPr>
          <w:rFonts w:ascii="Calibri" w:hAnsi="Calibri"/>
          <w:b w:val="0"/>
          <w:i/>
          <w:color w:val="7A6B58"/>
          <w:sz w:val="21"/>
        </w:rPr>
        <w:t>Python with Pandas and scikit learn, Random Forest, statistical modelling, Matplotlib and Seaborn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Executed an end to end data science project transforming raw global event datasets into structured insights for resource allocation and risk assessment.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Performed advanced data preparation and cleansing across outliers, imputation, and normalisation to build a high quality data foundation before any modelling.</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Developed Random Forest models to analyse correlations between event duration and financial impact, extracting clear business relevant insights on where economic risk concentrates.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Communicated complex statistical findings to non technical stakeholders through comprehensive visual reports and calibrated confidence statements.</w:t>
      </w:r>
    </w:p>
    <w:p>
      <w:pPr>
        <w:spacing w:before="40" w:after="80"/>
        <w:pBdr>
          <w:bottom w:val="single" w:sz="6" w:space="1" w:color="D0D0D0"/>
        </w:pBdr>
      </w:pPr>
    </w:p>
    <w:p>
      <w:pPr>
        <w:spacing w:before="80" w:after="60"/>
      </w:pPr>
      <w:r>
        <w:rPr>
          <w:rFonts w:ascii="Calibri" w:hAnsi="Calibri"/>
          <w:b/>
          <w:i w:val="0"/>
          <w:color w:val="1F5F6B"/>
          <w:sz w:val="25"/>
        </w:rPr>
        <w:t>RESEARCH AND THESIS</w:t>
      </w:r>
    </w:p>
    <w:p>
      <w:pPr>
        <w:spacing w:before="40" w:after="20"/>
      </w:pPr>
      <w:r>
        <w:rPr>
          <w:rFonts w:ascii="Calibri" w:hAnsi="Calibri"/>
          <w:b/>
          <w:i w:val="0"/>
          <w:color w:val="1F5F6B"/>
          <w:sz w:val="23"/>
        </w:rPr>
        <w:t>Bachelor Thesis, Diabetes Prediction Using Machine Learning</w:t>
      </w:r>
    </w:p>
    <w:p>
      <w:pPr>
        <w:spacing w:after="20"/>
      </w:pPr>
      <w:r>
        <w:rPr>
          <w:rFonts w:ascii="Calibri" w:hAnsi="Calibri"/>
          <w:b w:val="0"/>
          <w:i/>
          <w:color w:val="7A6B58"/>
          <w:sz w:val="21"/>
        </w:rPr>
        <w:t>GL Bajaj Institute of Technology and Management, IEEE style paper</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 full end to end machine learning pipeline comparing six classifiers on a clinical dataset of 768 patients, using 10 fold cross validation and per model confusion matrices.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Caught biologically impossible zero values that the original authors had overlooked, then applied IQR based outlier removal and proper imputation to restore data integrity.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Chose ROC AUC over accuracy as the headline metric for a 65 to 35 imbalanced dataset, avoiding a misleadingly rosy accuracy figure that would have hidden real error patterns.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Wrote up findings as an IEEE style paper including an honest section on limitations and what to do differently in a follow up study.</w:t>
      </w:r>
    </w:p>
    <w:p>
      <w:pPr>
        <w:spacing w:before="40" w:after="80"/>
        <w:pBdr>
          <w:bottom w:val="single" w:sz="6" w:space="1" w:color="D0D0D0"/>
        </w:pBdr>
      </w:pPr>
    </w:p>
    <w:p>
      <w:pPr>
        <w:spacing w:before="80" w:after="60"/>
      </w:pPr>
      <w:r>
        <w:rPr>
          <w:rFonts w:ascii="Calibri" w:hAnsi="Calibri"/>
          <w:b/>
          <w:i w:val="0"/>
          <w:color w:val="1F5F6B"/>
          <w:sz w:val="25"/>
        </w:rPr>
        <w:t>CERTIFICATIONS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NVIDIA Building LLM Applications With Prompt Engineering: issued November 2025.</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AWS Academy Graduate, AWS Academy Cloud Foundations: issued July 2025.</w:t>
      </w:r>
    </w:p>
    <w:p>
      <w:pPr>
        <w:spacing w:before="40" w:after="80"/>
        <w:pBdr>
          <w:bottom w:val="single" w:sz="6" w:space="1" w:color="D0D0D0"/>
        </w:pBdr>
      </w:pPr>
    </w:p>
    <w:p>
      <w:pPr>
        <w:spacing w:before="80" w:after="60"/>
      </w:pPr>
      <w:r>
        <w:rPr>
          <w:rFonts w:ascii="Calibri" w:hAnsi="Calibri"/>
          <w:b/>
          <w:i w:val="0"/>
          <w:color w:val="1F5F6B"/>
          <w:sz w:val="25"/>
        </w:rPr>
        <w:t>ACHIEVEMENTS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USAII Global AI Hackathon 2026: Finalist at Graduate Level, awarded by the United States Artificial Intelligence Institute for innovation, technical creativity, and applied AI on real world challenges.</w:t>
      </w:r>
    </w:p>
    <w:p>
      <w:pPr>
        <w:spacing w:before="40" w:after="80"/>
        <w:pBdr>
          <w:bottom w:val="single" w:sz="6" w:space="1" w:color="D0D0D0"/>
        </w:pBdr>
      </w:pPr>
    </w:p>
    <w:p>
      <w:pPr>
        <w:spacing w:before="80" w:after="60"/>
      </w:pPr>
      <w:r>
        <w:rPr>
          <w:rFonts w:ascii="Calibri" w:hAnsi="Calibri"/>
          <w:b/>
          <w:i w:val="0"/>
          <w:color w:val="1F5F6B"/>
          <w:sz w:val="25"/>
        </w:rPr>
        <w:t>LANGUAGES</w:t>
      </w:r>
    </w:p>
    <w:p>
      <w:pPr>
        <w:jc w:val="both"/>
      </w:pPr>
      <w:r>
        <w:rPr>
          <w:rFonts w:ascii="Calibri" w:hAnsi="Calibri"/>
          <w:b w:val="0"/>
          <w:i w:val="0"/>
          <w:color w:val="2B2F3A"/>
          <w:sz w:val="21"/>
        </w:rPr>
        <w:t>English: fluent, professional working proficiency. German: B1, in progress.</w:t>
      </w:r>
    </w:p>
    <w:sectPr w:rsidR="00FC693F" w:rsidRPr="0006063C" w:rsidSect="00034616">
      <w:pgSz w:w="12240" w:h="15840"/>
      <w:pgMar w:top="680"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