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23 July 2026</w:t>
      </w:r>
    </w:p>
    <w:p>
      <w:r>
        <w:rPr>
          <w:b/>
          <w:color w:val="1F3A5F"/>
          <w:sz w:val="23"/>
        </w:rPr>
        <w:t>Knauf Deutschland</w:t>
      </w:r>
    </w:p>
    <w:p>
      <w:r>
        <w:rPr>
          <w:color w:val="1F2937"/>
          <w:sz w:val="21"/>
        </w:rPr>
        <w:t>Hiring Team</w:t>
      </w:r>
    </w:p>
    <w:p>
      <w:r>
        <w:rPr>
          <w:b/>
          <w:color w:val="1F3A5F"/>
          <w:sz w:val="22"/>
        </w:rPr>
        <w:t>Application: Working Student AI Training and Enablement</w:t>
      </w:r>
    </w:p>
    <w:p>
      <w:r>
        <w:rPr>
          <w:color w:val="1F2937"/>
          <w:sz w:val="21"/>
        </w:rPr>
        <w:t>Dear Hiring Team,</w:t>
      </w:r>
    </w:p>
    <w:p>
      <w:pPr>
        <w:spacing w:line="324" w:lineRule="auto"/>
        <w:jc w:val="both"/>
      </w:pPr>
      <w:r>
        <w:rPr>
          <w:color w:val="1F2937"/>
          <w:sz w:val="21"/>
        </w:rPr>
        <w:t>I am applying for the Working Student position on AI Training and Enablement at Knauf Digital in Munich. The brief on creating engaging training content for AI concepts, developing the AI literacy curriculum from generative AI basics to responsible use, translating EU AI Act literacy requirements into clear learning content, and rolling out courses through the LMS aligns directly with the applied AI and communication work I have been shipping over the past year.</w:t>
      </w:r>
    </w:p>
    <w:p>
      <w:pPr>
        <w:spacing w:line="324" w:lineRule="auto"/>
        <w:jc w:val="both"/>
      </w:pPr>
      <w:r>
        <w:rPr>
          <w:color w:val="1F2937"/>
          <w:sz w:val="21"/>
        </w:rPr>
        <w:t>My Hybrid RAG Orchestrator is a working generative AI system that classifies user intent into three execution paths, local knowledge retrieval, external web search, and direct conversational logic, built on Llama 3.1 8b via Groq, LangChain orchestration, HuggingFace MiniLM L6 v2 embeddings, and a persistent ChromaDB vector store, shipped as a Streamlit interface. It gives me the concrete grounding to explain generative AI basics, RAG, embeddings, and internal LLM tools like KARL to a non technical audience without hand waving.</w:t>
      </w:r>
    </w:p>
    <w:p>
      <w:pPr>
        <w:spacing w:line="324" w:lineRule="auto"/>
        <w:jc w:val="both"/>
      </w:pPr>
      <w:r>
        <w:rPr>
          <w:color w:val="1F2937"/>
          <w:sz w:val="21"/>
        </w:rPr>
        <w:t>In CreditIQ I lifted the Disparate Impact ratio from a failing 0.79 to a compliant 0.88 against the EU AI Act and AGG 80 percent fairness threshold, diagnosed a hidden intersectional bias through SHAP driven subgroup analysis, and shipped a Streamlit decision support tool with a plain language LLM generated explanation for finance managers, keeping a human in the loop per GDPR Article 22 and EU AI Act Article 14. That means I can translate EU AI Act literacy requirements into concrete, honest examples that non technical audiences actually understand.</w:t>
      </w:r>
    </w:p>
    <w:p>
      <w:pPr>
        <w:spacing w:line="324" w:lineRule="auto"/>
        <w:jc w:val="both"/>
      </w:pPr>
      <w:r>
        <w:rPr>
          <w:color w:val="1F2937"/>
          <w:sz w:val="21"/>
        </w:rPr>
        <w:t>I am fluent in English, structured, independent, and detail oriented, and I hold the NVIDIA Building LLM Applications With Prompt Engineering, AWS Academy Cloud Foundations, and Google Data Analytics Foundations certificates. I am confident in PowerPoint, comfortable with design and video tools, and quick to pick up LMS platforms like Docebo. I would be glad to align the exact scope with the AI Training and Enablement team at Knauf Digital and start soon.</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