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left"/>
      </w:pPr>
      <w:r>
        <w:rPr>
          <w:rFonts w:ascii="Calibri" w:hAnsi="Calibri" w:cs="Calibri"/>
          <w:b/>
          <w:i w:val="0"/>
          <w:color w:val="0A2A5C"/>
          <w:sz w:val="37"/>
        </w:rPr>
        <w:t>Rahul Rawat</w:t>
      </w:r>
    </w:p>
    <w:p>
      <w:pPr>
        <w:spacing w:before="20" w:after="40"/>
        <w:jc w:val="left"/>
        <w:pBdr>
          <w:bottom w:val="single" w:sz="6" w:space="6" w:color="808080"/>
        </w:pBdr>
      </w:pPr>
      <w:r>
        <w:rPr>
          <w:rFonts w:ascii="Calibri" w:hAnsi="Calibri" w:cs="Calibri"/>
          <w:b w:val="0"/>
          <w:i w:val="0"/>
          <w:color w:val="1A1A1A"/>
          <w:sz w:val="20"/>
        </w:rPr>
        <w:t>rahulrawat2r@gmail.com  •  015563603340  •  linkedin.com/in/rahulrawat2r  •  github.com/rahulrawat20022002  •  Mannheim, Germany</w:t>
      </w:r>
    </w:p>
    <w:p>
      <w:pPr>
        <w:spacing w:before="120" w:after="40"/>
        <w:jc w:val="left"/>
      </w:pPr>
      <w:r>
        <w:rPr>
          <w:rFonts w:ascii="Calibri" w:hAnsi="Calibri" w:cs="Calibri"/>
          <w:b/>
          <w:i w:val="0"/>
          <w:color w:val="0A2A5C"/>
          <w:sz w:val="25"/>
        </w:rPr>
        <w:t>PROFILE</w:t>
      </w:r>
    </w:p>
    <w:p>
      <w:pPr>
        <w:spacing w:before="0" w:after="80" w:line="276" w:lineRule="auto"/>
        <w:jc w:val="both"/>
        <w:pBdr>
          <w:bottom w:val="single" w:sz="6" w:space="6" w:color="808080"/>
        </w:pBdr>
      </w:pPr>
      <w:r>
        <w:rPr>
          <w:rFonts w:ascii="Calibri" w:hAnsi="Calibri" w:cs="Calibri"/>
          <w:b w:val="0"/>
          <w:i w:val="0"/>
          <w:color w:val="1A1A1A"/>
          <w:sz w:val="21"/>
        </w:rPr>
        <w:t>Data Science and Analytics Master student at SRH Heidelberg based in Mannheim, with practical experience building leakage aware machine learning pipelines on real sensor data and translating raw device signals into decision support. My six month collaboration with eRay GmbH built recursive forecasting for four water quality indicators with CatBoost multi quantile regression, gate check orchestration, and MICE imputation, the same kind of predictive maintenance mindset that a Preventative Service thesis needs. I combine that with a Bachelor Thesis on clinical ML documented as an IEEE style paper, so I can carry a thesis from literature review to publishable evaluation on my own.</w:t>
      </w:r>
    </w:p>
    <w:p>
      <w:pPr>
        <w:spacing w:before="120" w:after="40"/>
        <w:jc w:val="left"/>
      </w:pPr>
      <w:r>
        <w:rPr>
          <w:rFonts w:ascii="Calibri" w:hAnsi="Calibri" w:cs="Calibri"/>
          <w:b/>
          <w:i w:val="0"/>
          <w:color w:val="0A2A5C"/>
          <w:sz w:val="25"/>
        </w:rPr>
        <w:t>EDUCATION</w:t>
      </w:r>
    </w:p>
    <w:p>
      <w:pPr>
        <w:tabs>
          <w:tab w:pos="10080" w:val="right"/>
        </w:tabs>
        <w:spacing w:before="0" w:after="0"/>
        <w:jc w:val="left"/>
      </w:pPr>
      <w:r>
        <w:rPr>
          <w:rFonts w:ascii="Calibri" w:hAnsi="Calibri" w:cs="Calibri"/>
          <w:b/>
          <w:i w:val="0"/>
          <w:color w:val="0A2A5C"/>
          <w:sz w:val="23"/>
        </w:rPr>
        <w:t>M.Sc. Data Science and Analytics</w:t>
      </w:r>
      <w:r>
        <w:rPr>
          <w:rFonts w:ascii="Calibri" w:hAnsi="Calibri" w:cs="Calibri"/>
          <w:b w:val="0"/>
          <w:i w:val="0"/>
          <w:color w:val="1A1A1A"/>
          <w:sz w:val="21"/>
        </w:rPr>
        <w:tab/>
        <w:t>Apr 2025 to Present</w:t>
      </w:r>
    </w:p>
    <w:p>
      <w:pPr>
        <w:spacing w:before="0" w:after="60"/>
        <w:jc w:val="left"/>
      </w:pPr>
      <w:r>
        <w:rPr>
          <w:rFonts w:ascii="Calibri" w:hAnsi="Calibri" w:cs="Calibri"/>
          <w:b w:val="0"/>
          <w:i/>
          <w:color w:val="1A1A1A"/>
          <w:sz w:val="21"/>
        </w:rPr>
        <w:t>SRH University of Applied Sciences Heidelberg</w:t>
      </w:r>
    </w:p>
    <w:p>
      <w:pPr>
        <w:tabs>
          <w:tab w:pos="10080" w:val="right"/>
        </w:tabs>
        <w:spacing w:before="0" w:after="0"/>
        <w:jc w:val="left"/>
      </w:pPr>
      <w:r>
        <w:rPr>
          <w:rFonts w:ascii="Calibri" w:hAnsi="Calibri" w:cs="Calibri"/>
          <w:b/>
          <w:i w:val="0"/>
          <w:color w:val="0A2A5C"/>
          <w:sz w:val="23"/>
        </w:rPr>
        <w:t>Bachelor of Technology in Computer Science</w:t>
      </w:r>
      <w:r>
        <w:rPr>
          <w:rFonts w:ascii="Calibri" w:hAnsi="Calibri" w:cs="Calibri"/>
          <w:b w:val="0"/>
          <w:i w:val="0"/>
          <w:color w:val="1A1A1A"/>
          <w:sz w:val="21"/>
        </w:rPr>
        <w:tab/>
        <w:t>2019 to 2023</w:t>
      </w:r>
    </w:p>
    <w:p>
      <w:pPr>
        <w:spacing w:before="0" w:after="60"/>
        <w:jc w:val="left"/>
      </w:pPr>
      <w:r>
        <w:rPr>
          <w:rFonts w:ascii="Calibri" w:hAnsi="Calibri" w:cs="Calibri"/>
          <w:b w:val="0"/>
          <w:i/>
          <w:color w:val="1A1A1A"/>
          <w:sz w:val="21"/>
        </w:rPr>
        <w:t>GL Bajaj Institute of Technology and Management</w:t>
      </w:r>
    </w:p>
    <w:p>
      <w:pPr>
        <w:spacing w:before="0" w:after="80"/>
        <w:pBdr>
          <w:bottom w:val="single" w:sz="6" w:space="1" w:color="808080"/>
        </w:pBdr>
      </w:pPr>
    </w:p>
    <w:p>
      <w:pPr>
        <w:spacing w:before="120" w:after="40"/>
        <w:jc w:val="left"/>
      </w:pPr>
      <w:r>
        <w:rPr>
          <w:rFonts w:ascii="Calibri" w:hAnsi="Calibri" w:cs="Calibri"/>
          <w:b/>
          <w:i w:val="0"/>
          <w:color w:val="0A2A5C"/>
          <w:sz w:val="25"/>
        </w:rPr>
        <w:t>EXPERIENCE</w:t>
      </w:r>
    </w:p>
    <w:p>
      <w:pPr>
        <w:spacing w:before="0" w:after="0"/>
        <w:jc w:val="left"/>
      </w:pPr>
      <w:r>
        <w:rPr>
          <w:rFonts w:ascii="Calibri" w:hAnsi="Calibri" w:cs="Calibri"/>
          <w:b/>
          <w:i w:val="0"/>
          <w:color w:val="0A2A5C"/>
          <w:sz w:val="23"/>
        </w:rPr>
        <w:t>eRay GmbH</w:t>
      </w:r>
    </w:p>
    <w:p>
      <w:pPr>
        <w:spacing w:before="0" w:after="60"/>
        <w:jc w:val="left"/>
      </w:pPr>
      <w:r>
        <w:rPr>
          <w:rFonts w:ascii="Calibri" w:hAnsi="Calibri" w:cs="Calibri"/>
          <w:b w:val="0"/>
          <w:i/>
          <w:color w:val="1A1A1A"/>
          <w:sz w:val="21"/>
        </w:rPr>
        <w:t>Data Scientist · Oct 2025 to Mar 2026</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Built an end to end recursive time series pipeline forecasting chlorophyll a, turbidity, pH, and dissolved oxygen for a German lake, delivered as a six month collaboration with SRH University Heidelberg.</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Benchmarked six models head to head, Ridge, Gradient Boosting, LightGBM, XGBoost, CatBoost, and Prophet, and used CatBoost multi quantile regression to produce asymmetric 80 percent prediction intervals.</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Enforced strict anti leakage rules across the pipeline, surfacing the honest finding that pH and dissolved oxygen are physically predictable while chlorophyll a and turbidity are not without live optical sensors.</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Reconstructed missing winter readings with MICE imputation and engineered a synthetic winter decay forecast canvas so tree based models stopped flatlining during recursive prediction.</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Wrapped the whole pipeline in an orchestrator with gate checks and velocity and ecological bounds that halts on failed imputation rather than letting bad data cascade downstream.</w:t>
      </w:r>
    </w:p>
    <w:p>
      <w:pPr>
        <w:spacing w:before="0" w:after="80"/>
        <w:pBdr>
          <w:bottom w:val="single" w:sz="6" w:space="1" w:color="808080"/>
        </w:pBdr>
      </w:pPr>
    </w:p>
    <w:p>
      <w:pPr>
        <w:spacing w:before="120" w:after="40"/>
        <w:jc w:val="left"/>
      </w:pPr>
      <w:r>
        <w:rPr>
          <w:rFonts w:ascii="Calibri" w:hAnsi="Calibri" w:cs="Calibri"/>
          <w:b/>
          <w:i w:val="0"/>
          <w:color w:val="0A2A5C"/>
          <w:sz w:val="25"/>
        </w:rPr>
        <w:t>PERSONAL PROJECTS</w:t>
      </w:r>
    </w:p>
    <w:p>
      <w:pPr>
        <w:spacing w:before="40" w:after="20"/>
        <w:jc w:val="left"/>
      </w:pPr>
      <w:r>
        <w:rPr>
          <w:rFonts w:ascii="Calibri" w:hAnsi="Calibri" w:cs="Calibri"/>
          <w:b/>
          <w:i w:val="0"/>
          <w:color w:val="0A2A5C"/>
          <w:sz w:val="23"/>
        </w:rPr>
        <w:t>CreditIQ, Fairness by Design Credit Scoring System</w:t>
      </w:r>
      <w:r>
        <w:rPr>
          <w:rFonts w:ascii="Calibri" w:hAnsi="Calibri" w:cs="Calibri"/>
          <w:b w:val="0"/>
          <w:i/>
          <w:color w:val="1A1A1A"/>
          <w:sz w:val="21"/>
        </w:rPr>
        <w:t>: Python, scikit learn, AIF360, SHAP, Streamlit</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Lifted the model's Disparate Impact ratio from a failing 0.79 to a compliant 0.88, clearing the EU AI Act and AGG 80 percent fairness threshold.</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Diagnosed a hidden intersectional bias where younger women were still being penalised even after single axis age bias was fixed, using SHAP, then designed a four way age by gender threshold matrix to correct it without over correcting into reverse discrimination.</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Cut the false negative rate from 44 percent to 16.7 percent while holding accuracy at 75 percent, documenting the fairness accuracy trade off as a deliberate and regulator defensible decision.</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Shipped a Streamlit decision support tool giving finance managers a recommendation plus a plain language LLM generated explanation, keeping a human in the loop per GDPR Article 22 and EU AI Act Article 14.</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Backed the pipeline with unit tests at 100 percent branch coverage and a full regulatory write up covering EU AI Act Annex III, GDPR, a model card, and attack vectors.</w:t>
      </w:r>
    </w:p>
    <w:p>
      <w:pPr>
        <w:spacing w:before="40" w:after="20"/>
        <w:jc w:val="left"/>
      </w:pPr>
      <w:r>
        <w:rPr>
          <w:rFonts w:ascii="Calibri" w:hAnsi="Calibri" w:cs="Calibri"/>
          <w:b/>
          <w:i w:val="0"/>
          <w:color w:val="0A2A5C"/>
          <w:sz w:val="23"/>
        </w:rPr>
        <w:t>Real Time Flight Tracking Data Pipeline</w:t>
      </w:r>
      <w:r>
        <w:rPr>
          <w:rFonts w:ascii="Calibri" w:hAnsi="Calibri" w:cs="Calibri"/>
          <w:b w:val="0"/>
          <w:i/>
          <w:color w:val="1A1A1A"/>
          <w:sz w:val="21"/>
        </w:rPr>
        <w:t>: Python, PySpark, BigQuery, dbt, Apache Airflow, GCP Dataproc, GCE, GCS, Tableau, TabPy, OAuth2</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Set up real time data collection from the OpenSky Network API, polling live flight positions every 30 seconds and enriching each observation against airport, aircraft, and weather data from four external sources.</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Cleaned raw data with PySpark on Google Cloud and shaped it into analysis ready tables with dbt, computing each aircraft's nearest airport along the way and yielding more than 128 thousand joined records.</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Orchestrated the whole system with Apache Airflow so that the batch and real time layers refresh automatically every 15 minutes with no manual intervention.</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Surfaced findings in Tableau with Python statistics served through TabPy, showing that air traffic dropped by a factor of 4.4 in heavy rain and clustered heavily around hubs such as Frankfurt and Munich.</w:t>
      </w:r>
    </w:p>
    <w:p>
      <w:pPr>
        <w:spacing w:before="40" w:after="20"/>
        <w:jc w:val="left"/>
      </w:pPr>
      <w:r>
        <w:rPr>
          <w:rFonts w:ascii="Calibri" w:hAnsi="Calibri" w:cs="Calibri"/>
          <w:b/>
          <w:i w:val="0"/>
          <w:color w:val="0A2A5C"/>
          <w:sz w:val="23"/>
        </w:rPr>
        <w:t>Economic Impact Analysis of Global Climate Events</w:t>
      </w:r>
      <w:r>
        <w:rPr>
          <w:rFonts w:ascii="Calibri" w:hAnsi="Calibri" w:cs="Calibri"/>
          <w:b w:val="0"/>
          <w:i/>
          <w:color w:val="1A1A1A"/>
          <w:sz w:val="21"/>
        </w:rPr>
        <w:t>: Python with Pandas and scikit learn, Matplotlib, Seaborn, Random Forest, statistical modelling</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Executed an end to end data science project transforming raw global event datasets into structured insights that support resource allocation and risk assessment.</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Performed advanced data preparation and cleansing including outlier handling, imputation, and normalisation to build a high quality data foundation.</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Developed Random Forest models to analyse correlations between disaster duration and financial impact and extracted clear business relevant insights.</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Communicated complex statistical findings to non technical stakeholders through comprehensive visual reports and executive summaries.</w:t>
      </w:r>
    </w:p>
    <w:p>
      <w:pPr>
        <w:spacing w:before="0" w:after="80"/>
        <w:pBdr>
          <w:bottom w:val="single" w:sz="6" w:space="1" w:color="808080"/>
        </w:pBdr>
      </w:pPr>
    </w:p>
    <w:p>
      <w:pPr>
        <w:spacing w:before="120" w:after="40"/>
        <w:jc w:val="left"/>
      </w:pPr>
      <w:r>
        <w:rPr>
          <w:rFonts w:ascii="Calibri" w:hAnsi="Calibri" w:cs="Calibri"/>
          <w:b/>
          <w:i w:val="0"/>
          <w:color w:val="0A2A5C"/>
          <w:sz w:val="25"/>
        </w:rPr>
        <w:t>RESEARCH AND THESIS</w:t>
      </w:r>
    </w:p>
    <w:p>
      <w:pPr>
        <w:spacing w:before="0" w:after="0"/>
        <w:jc w:val="left"/>
      </w:pPr>
      <w:r>
        <w:rPr>
          <w:rFonts w:ascii="Calibri" w:hAnsi="Calibri" w:cs="Calibri"/>
          <w:b/>
          <w:i w:val="0"/>
          <w:color w:val="0A2A5C"/>
          <w:sz w:val="23"/>
        </w:rPr>
        <w:t>Bachelor Thesis, Diabetes Prediction Using Machine Learning</w:t>
      </w:r>
    </w:p>
    <w:p>
      <w:pPr>
        <w:spacing w:before="0" w:after="60"/>
        <w:jc w:val="left"/>
      </w:pPr>
      <w:r>
        <w:rPr>
          <w:rFonts w:ascii="Calibri" w:hAnsi="Calibri" w:cs="Calibri"/>
          <w:b w:val="0"/>
          <w:i/>
          <w:color w:val="1A1A1A"/>
          <w:sz w:val="21"/>
        </w:rPr>
        <w:t>GL Bajaj Institute of Technology and Management, IEEE style paper</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Built a full end to end machine learning pipeline comparing six classifiers on a clinical diabetes dataset of 768 patients, using 10 fold cross validation and per model confusion matrices.</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Caught biologically impossible zero values that the original authors had overlooked, then applied IQR based outlier removal and proper imputation to restore data integrity.</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Chose ROC AUC over accuracy as the headline metric for a 65 to 35 imbalanced dataset, avoiding a misleadingly rosy accuracy figure that would have hidden real error patterns.</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Wrote up findings as an IEEE style paper including an honest section on limitations and what to do differently in a follow up study.</w:t>
      </w:r>
    </w:p>
    <w:p>
      <w:pPr>
        <w:spacing w:before="0" w:after="80"/>
        <w:pBdr>
          <w:bottom w:val="single" w:sz="6" w:space="1" w:color="808080"/>
        </w:pBdr>
      </w:pPr>
    </w:p>
    <w:p>
      <w:pPr>
        <w:spacing w:before="120" w:after="40"/>
        <w:jc w:val="left"/>
      </w:pPr>
      <w:r>
        <w:rPr>
          <w:rFonts w:ascii="Calibri" w:hAnsi="Calibri" w:cs="Calibri"/>
          <w:b/>
          <w:i w:val="0"/>
          <w:color w:val="0A2A5C"/>
          <w:sz w:val="25"/>
        </w:rPr>
        <w:t>LANGUAGES</w:t>
      </w:r>
    </w:p>
    <w:p>
      <w:pPr>
        <w:spacing w:before="0" w:after="60"/>
        <w:jc w:val="both"/>
        <w:pBdr>
          <w:bottom w:val="single" w:sz="6" w:space="6" w:color="808080"/>
        </w:pBdr>
      </w:pPr>
      <w:r>
        <w:rPr>
          <w:rFonts w:ascii="Calibri" w:hAnsi="Calibri" w:cs="Calibri"/>
          <w:b w:val="0"/>
          <w:i w:val="0"/>
          <w:color w:val="1A1A1A"/>
          <w:sz w:val="21"/>
        </w:rPr>
        <w:t>English: fluent, professional working proficiency. German: B1, in progress.</w:t>
      </w:r>
    </w:p>
    <w:sectPr w:rsidR="00FC693F" w:rsidRPr="0006063C" w:rsidSect="00034616">
      <w:pgSz w:w="12240" w:h="15840"/>
      <w:pgMar w:top="792"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