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B8663F"/>
          <w:sz w:val="18"/>
        </w:rPr>
        <w:t>C U R R I C U L U M   V I T A E</w:t>
      </w:r>
    </w:p>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Process und Data Science</w:t>
      </w:r>
    </w:p>
    <w:p>
      <w:pPr>
        <w:keepNext/>
        <w:spacing w:before="20" w:after="0"/>
        <w:pBdr>
          <w:bottom w:val="single" w:sz="6" w:space="1" w:color="B7C0CE"/>
        </w:pBdr>
      </w:pPr>
      <w:r>
        <w:rPr>
          <w:b/>
          <w:color w:val="1F3A5F"/>
          <w:sz w:val="21"/>
        </w:rPr>
        <w:t>P E R S Ö N L I C H E   D A T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Adresse</w:t>
            </w:r>
          </w:p>
        </w:tc>
        <w:tc>
          <w:tcPr>
            <w:tcW w:type="dxa" w:w="7937"/>
            <w:tcMar>
              <w:top w:w="0" w:type="dxa"/>
              <w:left w:w="0" w:type="dxa"/>
              <w:bottom w:w="0" w:type="dxa"/>
              <w:right w:w="0" w:type="dxa"/>
            </w:tcMar>
          </w:tcPr>
          <w:p>
            <w:pPr>
              <w:spacing w:before="0" w:after="0"/>
            </w:pPr>
            <w:r>
              <w:rPr>
                <w:color w:val="1F2937"/>
                <w:sz w:val="21"/>
              </w:rPr>
              <w:t>C2 16, 68159 Mannheim, Deutschland</w:t>
            </w:r>
          </w:p>
        </w:tc>
      </w:tr>
      <w:tr>
        <w:tc>
          <w:tcPr>
            <w:tcW w:type="dxa" w:w="1814"/>
            <w:tcMar>
              <w:top w:w="0" w:type="dxa"/>
              <w:left w:w="0" w:type="dxa"/>
              <w:bottom w:w="0" w:type="dxa"/>
              <w:right w:w="0" w:type="dxa"/>
            </w:tcMar>
          </w:tcPr>
          <w:p>
            <w:pPr>
              <w:spacing w:before="0" w:after="0"/>
            </w:pPr>
            <w:r>
              <w:rPr>
                <w:b/>
                <w:color w:val="1F3A5F"/>
                <w:sz w:val="21"/>
              </w:rPr>
              <w:t>Telefon</w:t>
            </w:r>
          </w:p>
        </w:tc>
        <w:tc>
          <w:tcPr>
            <w:tcW w:type="dxa" w:w="7937"/>
            <w:tcMar>
              <w:top w:w="0" w:type="dxa"/>
              <w:left w:w="0" w:type="dxa"/>
              <w:bottom w:w="0" w:type="dxa"/>
              <w:right w:w="0" w:type="dxa"/>
            </w:tcMar>
          </w:tcPr>
          <w:p>
            <w:pPr>
              <w:spacing w:before="0" w:after="0"/>
            </w:pPr>
            <w:r>
              <w:rPr>
                <w:color w:val="1F2937"/>
                <w:sz w:val="21"/>
              </w:rPr>
              <w:t>015563603340</w:t>
            </w:r>
          </w:p>
        </w:tc>
      </w:tr>
      <w:tr>
        <w:tc>
          <w:tcPr>
            <w:tcW w:type="dxa" w:w="1814"/>
            <w:tcMar>
              <w:top w:w="0" w:type="dxa"/>
              <w:left w:w="0" w:type="dxa"/>
              <w:bottom w:w="0" w:type="dxa"/>
              <w:right w:w="0" w:type="dxa"/>
            </w:tcMar>
          </w:tcPr>
          <w:p>
            <w:pPr>
              <w:spacing w:before="0" w:after="0"/>
            </w:pPr>
            <w:r>
              <w:rPr>
                <w:b/>
                <w:color w:val="1F3A5F"/>
                <w:sz w:val="21"/>
              </w:rPr>
              <w:t>E-Mail</w:t>
            </w:r>
          </w:p>
        </w:tc>
        <w:tc>
          <w:tcPr>
            <w:tcW w:type="dxa" w:w="7937"/>
            <w:tcMar>
              <w:top w:w="0" w:type="dxa"/>
              <w:left w:w="0" w:type="dxa"/>
              <w:bottom w:w="0" w:type="dxa"/>
              <w:right w:w="0" w:type="dxa"/>
            </w:tcMar>
          </w:tcPr>
          <w:p>
            <w:pPr>
              <w:spacing w:before="0" w:after="0"/>
            </w:pPr>
            <w:r>
              <w:rPr>
                <w:color w:val="1F2937"/>
                <w:sz w:val="21"/>
              </w:rPr>
              <w:t>rahulrawat2r@gmail.com</w:t>
            </w:r>
          </w:p>
        </w:tc>
      </w:tr>
      <w:tr>
        <w:tc>
          <w:tcPr>
            <w:tcW w:type="dxa" w:w="1814"/>
            <w:tcMar>
              <w:top w:w="0" w:type="dxa"/>
              <w:left w:w="0" w:type="dxa"/>
              <w:bottom w:w="0" w:type="dxa"/>
              <w:right w:w="0" w:type="dxa"/>
            </w:tcMar>
          </w:tcPr>
          <w:p>
            <w:pPr>
              <w:spacing w:before="0" w:after="0"/>
            </w:pPr>
            <w:r>
              <w:rPr>
                <w:b/>
                <w:color w:val="1F3A5F"/>
                <w:sz w:val="21"/>
              </w:rPr>
              <w:t>LinkedIn</w:t>
            </w:r>
          </w:p>
        </w:tc>
        <w:tc>
          <w:tcPr>
            <w:tcW w:type="dxa" w:w="7937"/>
            <w:tcMar>
              <w:top w:w="0" w:type="dxa"/>
              <w:left w:w="0" w:type="dxa"/>
              <w:bottom w:w="0" w:type="dxa"/>
              <w:right w:w="0" w:type="dxa"/>
            </w:tcMar>
          </w:tcPr>
          <w:p>
            <w:pPr>
              <w:spacing w:before="0" w:after="0"/>
            </w:pPr>
            <w:r>
              <w:rPr>
                <w:color w:val="1F2937"/>
                <w:sz w:val="21"/>
              </w:rPr>
              <w:t>linkedin.com/in/rahulrawat2r</w:t>
            </w:r>
          </w:p>
        </w:tc>
      </w:tr>
      <w:tr>
        <w:tc>
          <w:tcPr>
            <w:tcW w:type="dxa" w:w="1814"/>
            <w:tcMar>
              <w:top w:w="0" w:type="dxa"/>
              <w:left w:w="0" w:type="dxa"/>
              <w:bottom w:w="0" w:type="dxa"/>
              <w:right w:w="0" w:type="dxa"/>
            </w:tcMar>
          </w:tcPr>
          <w:p>
            <w:pPr>
              <w:spacing w:before="0" w:after="0"/>
            </w:pPr>
            <w:r>
              <w:rPr>
                <w:b/>
                <w:color w:val="1F3A5F"/>
                <w:sz w:val="21"/>
              </w:rPr>
              <w:t>GitHub</w:t>
            </w:r>
          </w:p>
        </w:tc>
        <w:tc>
          <w:tcPr>
            <w:tcW w:type="dxa" w:w="7937"/>
            <w:tcMar>
              <w:top w:w="0" w:type="dxa"/>
              <w:left w:w="0" w:type="dxa"/>
              <w:bottom w:w="0" w:type="dxa"/>
              <w:right w:w="0" w:type="dxa"/>
            </w:tcMar>
          </w:tcPr>
          <w:p>
            <w:pPr>
              <w:spacing w:before="0" w:after="0"/>
            </w:pPr>
            <w:r>
              <w:rPr>
                <w:color w:val="1F2937"/>
                <w:sz w:val="21"/>
              </w:rPr>
              <w:t>github.com/rahulrawat20022002</w:t>
            </w:r>
          </w:p>
        </w:tc>
      </w:tr>
      <w:tr>
        <w:tc>
          <w:tcPr>
            <w:tcW w:type="dxa" w:w="1814"/>
            <w:tcMar>
              <w:top w:w="0" w:type="dxa"/>
              <w:left w:w="0" w:type="dxa"/>
              <w:bottom w:w="0" w:type="dxa"/>
              <w:right w:w="0" w:type="dxa"/>
            </w:tcMar>
          </w:tcPr>
          <w:p>
            <w:pPr>
              <w:spacing w:before="0" w:after="0"/>
            </w:pPr>
            <w:r>
              <w:rPr>
                <w:b/>
                <w:color w:val="1F3A5F"/>
                <w:sz w:val="21"/>
              </w:rPr>
              <w:t>Portfolio</w:t>
            </w:r>
          </w:p>
        </w:tc>
        <w:tc>
          <w:tcPr>
            <w:tcW w:type="dxa" w:w="7937"/>
            <w:tcMar>
              <w:top w:w="0" w:type="dxa"/>
              <w:left w:w="0" w:type="dxa"/>
              <w:bottom w:w="0" w:type="dxa"/>
              <w:right w:w="0" w:type="dxa"/>
            </w:tcMar>
          </w:tcPr>
          <w:p>
            <w:pPr>
              <w:spacing w:before="0" w:after="0"/>
            </w:pPr>
            <w:r>
              <w:rPr>
                <w:color w:val="1F2937"/>
                <w:sz w:val="21"/>
              </w:rPr>
              <w:t>rah-portfolio.pages.dev</w:t>
            </w:r>
          </w:p>
        </w:tc>
      </w:tr>
      <w:tr>
        <w:tc>
          <w:tcPr>
            <w:tcW w:type="dxa" w:w="1814"/>
            <w:tcMar>
              <w:top w:w="0" w:type="dxa"/>
              <w:left w:w="0" w:type="dxa"/>
              <w:bottom w:w="0" w:type="dxa"/>
              <w:right w:w="0" w:type="dxa"/>
            </w:tcMar>
          </w:tcPr>
          <w:p>
            <w:pPr>
              <w:spacing w:before="0" w:after="0"/>
            </w:pPr>
            <w:r>
              <w:rPr>
                <w:b/>
                <w:color w:val="1F3A5F"/>
                <w:sz w:val="21"/>
              </w:rPr>
              <w:t>Geburtsdatum</w:t>
            </w:r>
          </w:p>
        </w:tc>
        <w:tc>
          <w:tcPr>
            <w:tcW w:type="dxa" w:w="7937"/>
            <w:tcMar>
              <w:top w:w="0" w:type="dxa"/>
              <w:left w:w="0" w:type="dxa"/>
              <w:bottom w:w="0" w:type="dxa"/>
              <w:right w:w="0" w:type="dxa"/>
            </w:tcMar>
          </w:tcPr>
          <w:p>
            <w:pPr>
              <w:spacing w:before="0" w:after="0"/>
            </w:pPr>
            <w:r>
              <w:rPr>
                <w:color w:val="1F2937"/>
                <w:sz w:val="21"/>
              </w:rPr>
              <w:t>20 February 2002</w:t>
            </w:r>
          </w:p>
        </w:tc>
      </w:tr>
      <w:tr>
        <w:tc>
          <w:tcPr>
            <w:tcW w:type="dxa" w:w="1814"/>
            <w:tcMar>
              <w:top w:w="0" w:type="dxa"/>
              <w:left w:w="0" w:type="dxa"/>
              <w:bottom w:w="0" w:type="dxa"/>
              <w:right w:w="0" w:type="dxa"/>
            </w:tcMar>
          </w:tcPr>
          <w:p>
            <w:pPr>
              <w:spacing w:before="0" w:after="0"/>
            </w:pPr>
            <w:r>
              <w:rPr>
                <w:b/>
                <w:color w:val="1F3A5F"/>
                <w:sz w:val="21"/>
              </w:rPr>
              <w:t>Nationalität</w:t>
            </w:r>
          </w:p>
        </w:tc>
        <w:tc>
          <w:tcPr>
            <w:tcW w:type="dxa" w:w="7937"/>
            <w:tcMar>
              <w:top w:w="0" w:type="dxa"/>
              <w:left w:w="0" w:type="dxa"/>
              <w:bottom w:w="0" w:type="dxa"/>
              <w:right w:w="0" w:type="dxa"/>
            </w:tcMar>
          </w:tcPr>
          <w:p>
            <w:pPr>
              <w:spacing w:before="0" w:after="0"/>
            </w:pPr>
            <w:r>
              <w:rPr>
                <w:color w:val="1F2937"/>
                <w:sz w:val="21"/>
              </w:rPr>
              <w:t>Indisch, Studentenvisum mit gültiger Arbeitserlaubnis</w:t>
            </w:r>
          </w:p>
        </w:tc>
      </w:tr>
      <w:tr>
        <w:tc>
          <w:tcPr>
            <w:tcW w:type="dxa" w:w="1814"/>
            <w:tcMar>
              <w:top w:w="0" w:type="dxa"/>
              <w:left w:w="0" w:type="dxa"/>
              <w:bottom w:w="0" w:type="dxa"/>
              <w:right w:w="0" w:type="dxa"/>
            </w:tcMar>
          </w:tcPr>
          <w:p>
            <w:pPr>
              <w:spacing w:before="0" w:after="0"/>
            </w:pPr>
            <w:r>
              <w:rPr>
                <w:b/>
                <w:color w:val="1F3A5F"/>
                <w:sz w:val="21"/>
              </w:rPr>
              <w:t>Verfügbarkeit</w:t>
            </w:r>
          </w:p>
        </w:tc>
        <w:tc>
          <w:tcPr>
            <w:tcW w:type="dxa" w:w="7937"/>
            <w:tcMar>
              <w:top w:w="0" w:type="dxa"/>
              <w:left w:w="0" w:type="dxa"/>
              <w:bottom w:w="0" w:type="dxa"/>
              <w:right w:w="0" w:type="dxa"/>
            </w:tcMar>
          </w:tcPr>
          <w:p>
            <w:pPr>
              <w:spacing w:before="0" w:after="0"/>
            </w:pPr>
            <w:r>
              <w:rPr>
                <w:color w:val="1F2937"/>
                <w:sz w:val="21"/>
              </w:rPr>
              <w:t>Werkstudent 20 Stunden pro Woche sofort, Vollzeit ab April 2027</w:t>
            </w:r>
          </w:p>
        </w:tc>
      </w:tr>
    </w:tbl>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in Process nahen Datenpipelines, Machine Learning auf Betriebsdaten und Dashboarding fuer Entscheidungstraeger. Ich habe eine vollstaendig automatisierte Bronze Silver Gold Medallion Pipeline in BigQuery mit einem leakage freien BigQuery ML Klassifikator und fuenfseitigem Looker Studio Dashboard umgesetzt, ein interaktives Tableau Dashboard mit dynamischen Set Actions und parametergesteuerten Analytiken ausgeliefert und eine Echtzeit Cloud Pipeline mit PySpark, dbt und Apache Airflow ueber mehr als 128 tausend Datensaetze betrieben. Sicher in Python, SQL und mit strukturiertem analytischem Blick fuer Prozessdaten und Business Fragen, bin ich die richtige Verstaerkung fuer Process und Data Science, Business Process Management und AI Themen bei der PMMG Group.</w:t>
      </w:r>
    </w:p>
    <w:p>
      <w:pPr>
        <w:keepNext/>
        <w:spacing w:before="20" w:after="0"/>
        <w:pBdr>
          <w:bottom w:val="single" w:sz="6" w:space="1" w:color="B7C0CE"/>
        </w:pBdr>
      </w:pPr>
      <w:r>
        <w:rPr>
          <w:b/>
          <w:color w:val="1F3A5F"/>
          <w:sz w:val="21"/>
        </w:rPr>
        <w:t>B E R U F S E R F A H R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Okt 2025 bis Mrz 2026</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eRay GmbH</w:t>
            </w:r>
          </w:p>
          <w:p>
            <w:pPr>
              <w:spacing w:before="0" w:after="0"/>
            </w:pPr>
            <w:r>
              <w:rPr>
                <w:color w:val="6C7A93"/>
                <w:sz w:val="20"/>
              </w:rPr>
              <w:t>Data Scientist</w:t>
            </w:r>
          </w:p>
          <w:p>
            <w:pPr>
              <w:spacing w:before="0" w:after="0" w:line="264" w:lineRule="auto"/>
              <w:ind w:left="170"/>
              <w:jc w:val="both"/>
            </w:pPr>
            <w:r>
              <w:rPr>
                <w:b/>
                <w:color w:val="B8663F"/>
                <w:sz w:val="21"/>
              </w:rPr>
              <w:t xml:space="preserve">• </w:t>
            </w:r>
            <w:r>
              <w:rPr>
                <w:b w:val="0"/>
                <w:color w:val="1F2937"/>
                <w:sz w:val="21"/>
              </w:rPr>
              <w:t>Im Rahmen einer sechsmonatigen Zusammenarbeit zwischen eRay GmbH und SRH Hochschule Heidelberg zur Prognose der Wasserqualität eines deutschen Sees, mit dem Auftrag vier Indikatoren über rollende Horizonte zu prognostizieren, wurde eine end to end rekursive Zeitreihen Pipeline für Chlorophyll a, Trübung, pH Wert und gelösten Sauerstoff aufgebaut, als produktionsreifes Modul geliefert, das der Kunde bei jeder neuen Sensordatenlieferung erneut ausführen kann.</w:t>
            </w:r>
          </w:p>
          <w:p>
            <w:pPr>
              <w:spacing w:before="0" w:after="0" w:line="264" w:lineRule="auto"/>
              <w:ind w:left="170"/>
              <w:jc w:val="both"/>
            </w:pPr>
            <w:r>
              <w:rPr>
                <w:b/>
                <w:color w:val="B8663F"/>
                <w:sz w:val="21"/>
              </w:rPr>
              <w:t xml:space="preserve">• </w:t>
            </w:r>
            <w:r>
              <w:rPr>
                <w:b w:val="0"/>
                <w:color w:val="1F2937"/>
                <w:sz w:val="21"/>
              </w:rPr>
              <w:t>Angesichts unklarer Modellwahl für die Prognoseaufgabe und der Notwendigkeit, Unsicherheit gegenüber nichttechnischen Stakeholdern verständlich zu machen, wurden sechs Kandidaten direkt verglichen, Ridge, Gradient Boosting, LightGBM, XGBoost, CatBoost und Prophet, und die Entscheidung fiel auf CatBoost Multi Quantil Regression, die asymmetrische 80 Prozent Vorhersageintervalle lieferte und dem Kunden Entscheidungsunterstützung unter Unsicherheit ermöglichte.</w:t>
            </w:r>
          </w:p>
          <w:p>
            <w:pPr>
              <w:spacing w:before="0" w:after="0" w:line="264" w:lineRule="auto"/>
              <w:ind w:left="170"/>
              <w:jc w:val="both"/>
            </w:pPr>
            <w:r>
              <w:rPr>
                <w:b/>
                <w:color w:val="B8663F"/>
                <w:sz w:val="21"/>
              </w:rPr>
              <w:t xml:space="preserve">• </w:t>
            </w:r>
            <w:r>
              <w:rPr>
                <w:b w:val="0"/>
                <w:color w:val="1F2937"/>
                <w:sz w:val="21"/>
              </w:rPr>
              <w:t>Aus der Sorge, dass naive Zeitreihen Splits die Genauigkeit verzerren würden, mit dem Auftrag die Evaluation belastbar zu machen, wurden strenge Anti Leakage Regeln in der gesamten Pipeline erzwungen, was die ehrliche Erkenntnis offenlegte, dass pH Wert und gelöster Sauerstoff physikalisch vorhersagbar sind, während Chlorophyll a und Trübung ohne optische Live Sensorik nicht seriös prognostizierbar sind.</w:t>
            </w:r>
          </w:p>
          <w:p>
            <w:pPr>
              <w:spacing w:before="0" w:after="0" w:line="264" w:lineRule="auto"/>
              <w:ind w:left="170"/>
              <w:jc w:val="both"/>
            </w:pPr>
            <w:r>
              <w:rPr>
                <w:b/>
                <w:color w:val="B8663F"/>
                <w:sz w:val="21"/>
              </w:rPr>
              <w:t xml:space="preserve">• </w:t>
            </w:r>
            <w:r>
              <w:rPr>
                <w:b w:val="0"/>
                <w:color w:val="1F2937"/>
                <w:sz w:val="21"/>
              </w:rPr>
              <w:t>Bei fehlenden Winter Messwerten und baumbasierten Modellen, die während der rekursiven Vorhersage flach wurden, mit dem Ziel realistische saisonale Muster in den nachgelagerten Prognosen zu erhalten, wurden fehlende Werte mit MICE Imputation rekonstruiert und ein synthetischer Winter Decay Prognose Rahmen entwickelt, was glaubwürdiges Winterverhalten wiederherstellte, ohne Verzerrung in das Trainingsfenster einzubringen.</w:t>
            </w:r>
          </w:p>
          <w:p>
            <w:pPr>
              <w:spacing w:before="0" w:after="0" w:line="264" w:lineRule="auto"/>
              <w:ind w:left="170"/>
              <w:jc w:val="both"/>
            </w:pPr>
            <w:r>
              <w:rPr>
                <w:b/>
                <w:color w:val="B8663F"/>
                <w:sz w:val="21"/>
              </w:rPr>
              <w:t xml:space="preserve">• </w:t>
            </w:r>
            <w:r>
              <w:rPr>
                <w:b w:val="0"/>
                <w:color w:val="1F2937"/>
                <w:sz w:val="21"/>
              </w:rPr>
              <w:t>Um zu verhindern, dass fehlerhafte Daten sich rekursiv durch den Forecaster fortpflanzen, mit dem Auftrag die Ausführungsschleife zu härten, wurde die Pipeline mit einem Orchestrator mit Gate Checks sowie Geschwindigkeits und ökologischen Grenzen umschlossen, sodass eine fehlgeschlagene Imputation nun den Lauf stoppt, statt Wochen nachgelagerter Vorhersagen zu beschädigen.</w:t>
            </w:r>
          </w:p>
          <w:p>
            <w:pPr>
              <w:spacing w:before="10" w:after="0"/>
            </w:pPr>
            <w:r>
              <w:rPr>
                <w:b/>
                <w:color w:val="B8663F"/>
                <w:sz w:val="19"/>
              </w:rPr>
              <w:t xml:space="preserve">Technologies: </w:t>
            </w:r>
            <w:r>
              <w:rPr>
                <w:i/>
                <w:color w:val="6C7A93"/>
                <w:sz w:val="19"/>
              </w:rPr>
              <w:t>Python, CatBoost, Prophet, scikit learn, MICE</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Aug 2023 bis Aug 2024</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Junior Associate Software Developer</w:t>
            </w:r>
          </w:p>
          <w:p>
            <w:pPr>
              <w:spacing w:before="0" w:after="0" w:line="264" w:lineRule="auto"/>
              <w:ind w:left="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10" w:after="0"/>
            </w:pPr>
            <w:r>
              <w:rPr>
                <w:b/>
                <w:color w:val="B8663F"/>
                <w:sz w:val="19"/>
              </w:rPr>
              <w:t xml:space="preserve">Technologies: </w:t>
            </w:r>
            <w:r>
              <w:rPr>
                <w:i/>
                <w:color w:val="6C7A93"/>
                <w:sz w:val="19"/>
              </w:rPr>
              <w:t>React, module federation, Playwright, AngularJS, HTML5, CSS3</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Feb 2023 bis Aug 2023</w:t>
            </w:r>
          </w:p>
          <w:p>
            <w:pPr>
              <w:spacing w:before="0" w:after="0"/>
            </w:pPr>
            <w:r>
              <w:rPr>
                <w:color w:val="6C7A93"/>
                <w:sz w:val="19"/>
              </w:rPr>
              <w:t>India</w:t>
            </w:r>
          </w:p>
        </w:tc>
        <w:tc>
          <w:tcPr>
            <w:tcW w:type="dxa" w:w="8220"/>
            <w:tcMar>
              <w:top w:w="0" w:type="dxa"/>
              <w:left w:w="0" w:type="dxa"/>
              <w:bottom w:w="0" w:type="dxa"/>
              <w:right w:w="0" w:type="dxa"/>
            </w:tcMar>
          </w:tcPr>
          <w:p>
            <w:pPr>
              <w:spacing w:before="0" w:after="0"/>
            </w:pPr>
            <w:r>
              <w:rPr>
                <w:b/>
                <w:color w:val="1F3A5F"/>
                <w:sz w:val="22"/>
              </w:rPr>
              <w:t>SS Engineers and Contractors</w:t>
            </w:r>
          </w:p>
          <w:p>
            <w:pPr>
              <w:spacing w:before="0" w:after="0"/>
            </w:pPr>
            <w:r>
              <w:rPr>
                <w:color w:val="6C7A93"/>
                <w:sz w:val="20"/>
              </w:rPr>
              <w:t>Front End Developer Intern</w:t>
            </w:r>
          </w:p>
          <w:p>
            <w:pPr>
              <w:spacing w:before="0" w:after="0" w:line="264" w:lineRule="auto"/>
              <w:ind w:left="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10" w:after="0"/>
            </w:pPr>
            <w:r>
              <w:rPr>
                <w:b/>
                <w:color w:val="B8663F"/>
                <w:sz w:val="19"/>
              </w:rPr>
              <w:t xml:space="preserve">Technologies: </w:t>
            </w:r>
            <w:r>
              <w:rPr>
                <w:i/>
                <w:color w:val="6C7A93"/>
                <w:sz w:val="19"/>
              </w:rPr>
              <w:t>React, HTML5, CSS3, Git, code review workflow</w:t>
            </w:r>
          </w:p>
        </w:tc>
      </w:tr>
    </w:tbl>
    <w:p>
      <w:pPr>
        <w:spacing w:before="0" w:after="0"/>
      </w:pPr>
      <w:r>
        <w:rPr>
          <w:sz w:val="2"/>
        </w:rPr>
      </w:r>
    </w:p>
    <w:p>
      <w:pPr>
        <w:keepNext/>
        <w:spacing w:before="20" w:after="0"/>
        <w:pBdr>
          <w:bottom w:val="single" w:sz="6" w:space="1" w:color="B7C0CE"/>
        </w:pBdr>
      </w:pPr>
      <w:r>
        <w:rPr>
          <w:b/>
          <w:color w:val="1F3A5F"/>
          <w:sz w:val="21"/>
        </w:rPr>
        <w:t>P E R S Ö N L I C H E   P R O J E K T E</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2025</w:t>
            </w:r>
          </w:p>
        </w:tc>
        <w:tc>
          <w:tcPr>
            <w:tcW w:type="dxa" w:w="8220"/>
            <w:tcMar>
              <w:top w:w="0" w:type="dxa"/>
              <w:left w:w="0" w:type="dxa"/>
              <w:bottom w:w="0" w:type="dxa"/>
              <w:right w:w="0" w:type="dxa"/>
            </w:tcMar>
          </w:tcPr>
          <w:p>
            <w:pPr>
              <w:spacing w:before="0" w:after="0"/>
            </w:pPr>
            <w:r>
              <w:rPr>
                <w:b/>
                <w:color w:val="1F3A5F"/>
                <w:sz w:val="22"/>
              </w:rPr>
              <w:t>Movie Analytics und ML Pipeline auf GCP</w:t>
            </w:r>
          </w:p>
          <w:p>
            <w:pPr>
              <w:spacing w:before="0" w:after="0" w:line="264" w:lineRule="auto"/>
              <w:ind w:left="170"/>
              <w:jc w:val="both"/>
            </w:pPr>
            <w:r>
              <w:rPr>
                <w:b/>
                <w:color w:val="B8663F"/>
                <w:sz w:val="21"/>
              </w:rPr>
              <w:t xml:space="preserve">• </w:t>
            </w:r>
            <w:r>
              <w:rPr>
                <w:b w:val="0"/>
                <w:color w:val="1F2937"/>
                <w:sz w:val="21"/>
              </w:rPr>
              <w:t>Für ein persönliches Cloud Data Projekt zu Movie Analytics, das unbeaufsichtigt auf GCP laufen sollte, mit dem Auftrag die Ingestion und Verarbeitungsschicht zu bauen, wurde eine end to end Batch Pipeline aufgesetzt, die Filmdaten aus einer öffentlichen API in einen GCS Data Lake zieht und über eine Bronze Silver Gold Medallion Architektur in BigQuery auf Cloud Run verarbeitet, laufend über einen vollständig automatisierten Cloud Scheduler Trigger ohne manuellen Eingriff.</w:t>
            </w:r>
          </w:p>
          <w:p>
            <w:pPr>
              <w:spacing w:before="0" w:after="0" w:line="264" w:lineRule="auto"/>
              <w:ind w:left="170"/>
              <w:jc w:val="both"/>
            </w:pPr>
            <w:r>
              <w:rPr>
                <w:b/>
                <w:color w:val="B8663F"/>
                <w:sz w:val="21"/>
              </w:rPr>
              <w:t xml:space="preserve">• </w:t>
            </w:r>
            <w:r>
              <w:rPr>
                <w:b w:val="0"/>
                <w:color w:val="1F2937"/>
                <w:sz w:val="21"/>
              </w:rPr>
              <w:t>Da die roh eingelesenen Daten für direkte Analytik ungeeignet waren, mit dem Auftrag die Silver Schicht zu härten, wurden Schema Enforcement, sicheres Type Casting, Deduplikation per Window Functions und Genre Normalisierung in ein relationales Modell angewandt, was in allen nachgelagerten Gold Tabellen saubere referenzielle Integrität lieferte.</w:t>
            </w:r>
          </w:p>
          <w:p>
            <w:pPr>
              <w:spacing w:before="10" w:after="0"/>
            </w:pPr>
            <w:r>
              <w:rPr>
                <w:b/>
                <w:color w:val="B8663F"/>
                <w:sz w:val="19"/>
              </w:rPr>
              <w:t xml:space="preserve">Technologies: </w:t>
            </w:r>
            <w:r>
              <w:rPr>
                <w:i/>
                <w:color w:val="6C7A93"/>
                <w:sz w:val="19"/>
              </w:rPr>
              <w:t>GCP BigQuery, Cloud Run, GCS, Cloud Scheduler, BigQuery ML, Python, SQL, Looker Studio</w:t>
            </w:r>
          </w:p>
        </w:tc>
      </w:tr>
    </w:tbl>
    <w:p>
      <w:pPr>
        <w:spacing w:before="0" w:after="0"/>
      </w:pPr>
      <w:r>
        <w:rPr>
          <w:sz w:val="2"/>
        </w:rPr>
      </w:r>
    </w:p>
    <w:p>
      <w:pPr>
        <w:keepNext/>
        <w:spacing w:before="20" w:after="0"/>
        <w:pBdr>
          <w:bottom w:val="single" w:sz="6" w:space="1" w:color="B7C0CE"/>
        </w:pBdr>
      </w:pPr>
      <w:r>
        <w:rPr>
          <w:b/>
          <w:color w:val="1F3A5F"/>
          <w:sz w:val="21"/>
        </w:rPr>
        <w:t>A U S B I L D U N G</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Apr 2025 bis heute</w:t>
            </w:r>
          </w:p>
          <w:p>
            <w:pPr>
              <w:spacing w:before="0" w:after="0"/>
            </w:pPr>
            <w:r>
              <w:rPr>
                <w:color w:val="6C7A93"/>
                <w:sz w:val="19"/>
              </w:rPr>
              <w:t>Heidelberg</w:t>
            </w:r>
          </w:p>
        </w:tc>
        <w:tc>
          <w:tcPr>
            <w:tcW w:type="dxa" w:w="8220"/>
            <w:tcMar>
              <w:top w:w="0" w:type="dxa"/>
              <w:left w:w="0" w:type="dxa"/>
              <w:bottom w:w="0" w:type="dxa"/>
              <w:right w:w="0" w:type="dxa"/>
            </w:tcMar>
          </w:tcPr>
          <w:p>
            <w:pPr>
              <w:spacing w:before="0" w:after="0"/>
            </w:pPr>
            <w:r>
              <w:rPr>
                <w:b/>
                <w:color w:val="1F3A5F"/>
                <w:sz w:val="22"/>
              </w:rPr>
              <w:t>M.Sc. Data Science and Analytics</w:t>
            </w:r>
          </w:p>
          <w:p>
            <w:pPr>
              <w:spacing w:before="0" w:after="0"/>
            </w:pPr>
            <w:r>
              <w:rPr>
                <w:color w:val="6C7A93"/>
                <w:sz w:val="20"/>
              </w:rPr>
              <w:t>SRH University of Applied Sciences Heidelberg, GPA 1.9</w:t>
            </w:r>
          </w:p>
        </w:tc>
      </w:tr>
    </w:tbl>
    <w:p>
      <w:pPr>
        <w:spacing w:before="0" w:after="0"/>
      </w:pPr>
      <w:r>
        <w:rPr>
          <w:sz w:val="2"/>
        </w:rPr>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2019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 of Technology in Computer Science</w:t>
            </w:r>
          </w:p>
          <w:p>
            <w:pPr>
              <w:spacing w:before="0" w:after="0"/>
            </w:pPr>
            <w:r>
              <w:rPr>
                <w:color w:val="6C7A93"/>
                <w:sz w:val="20"/>
              </w:rPr>
              <w:t>GL Bajaj Institute of Technology and Management, CGPA 7.3 of 10</w:t>
            </w:r>
          </w:p>
        </w:tc>
      </w:tr>
    </w:tbl>
    <w:p>
      <w:pPr>
        <w:spacing w:before="0" w:after="0"/>
      </w:pPr>
      <w:r>
        <w:rPr>
          <w:sz w:val="2"/>
        </w:rPr>
      </w:r>
    </w:p>
    <w:p>
      <w:pPr>
        <w:keepNext/>
        <w:spacing w:before="20" w:after="0"/>
        <w:pBdr>
          <w:bottom w:val="single" w:sz="6" w:space="1" w:color="B7C0CE"/>
        </w:pBdr>
      </w:pPr>
      <w:r>
        <w:rPr>
          <w:b/>
          <w:color w:val="1F3A5F"/>
          <w:sz w:val="21"/>
        </w:rPr>
        <w:t>F O R S C H U N G   U N D   A B S C H L U S S A R B E I T</w:t>
      </w:r>
    </w:p>
    <w:tbl>
      <w:tblPr>
        <w:tblW w:type="auto" w:w="0"/>
        <w:tblLayout w:type="fixed"/>
        <w:tblLook w:firstColumn="1" w:firstRow="1" w:lastColumn="0" w:lastRow="0" w:noHBand="0" w:noVBand="1" w:val="04A0"/>
      </w:tblPr>
      <w:tblGrid>
        <w:gridCol w:w="1701"/>
        <w:gridCol w:w="8220"/>
      </w:tblGrid>
      <w:tr>
        <w:trPr>
          <w:cantSplit/>
        </w:trPr>
        <w:tc>
          <w:tcPr>
            <w:tcW w:type="dxa" w:w="1701"/>
            <w:tcMar>
              <w:top w:w="0" w:type="dxa"/>
              <w:left w:w="0" w:type="dxa"/>
              <w:bottom w:w="0" w:type="dxa"/>
              <w:right w:w="0" w:type="dxa"/>
            </w:tcMar>
          </w:tcPr>
          <w:p>
            <w:pPr>
              <w:spacing w:before="0" w:after="0"/>
            </w:pPr>
            <w:r>
              <w:rPr>
                <w:b/>
                <w:color w:val="1F3A5F"/>
                <w:sz w:val="19"/>
              </w:rPr>
              <w:t>2022 to 2023</w:t>
            </w:r>
          </w:p>
          <w:p>
            <w:pPr>
              <w:spacing w:before="0" w:after="0"/>
            </w:pPr>
            <w:r>
              <w:rPr>
                <w:color w:val="6C7A93"/>
                <w:sz w:val="19"/>
              </w:rPr>
              <w:t>Greater Noida, India</w:t>
            </w:r>
          </w:p>
        </w:tc>
        <w:tc>
          <w:tcPr>
            <w:tcW w:type="dxa" w:w="8220"/>
            <w:tcMar>
              <w:top w:w="0" w:type="dxa"/>
              <w:left w:w="0" w:type="dxa"/>
              <w:bottom w:w="0" w:type="dxa"/>
              <w:right w:w="0" w:type="dxa"/>
            </w:tcMar>
          </w:tcPr>
          <w:p>
            <w:pPr>
              <w:spacing w:before="0" w:after="0"/>
            </w:pPr>
            <w:r>
              <w:rPr>
                <w:b/>
                <w:color w:val="1F3A5F"/>
                <w:sz w:val="22"/>
              </w:rPr>
              <w:t>Bachelorarbeit: Diabetesvorhersage mit Machine Learning</w:t>
            </w:r>
          </w:p>
          <w:p>
            <w:pPr>
              <w:spacing w:before="0" w:after="0"/>
            </w:pPr>
            <w:r>
              <w:rPr>
                <w:color w:val="6C7A93"/>
                <w:sz w:val="20"/>
              </w:rPr>
              <w:t>GL Bajaj Institute of Technology and Management, IEEE style paper</w:t>
            </w:r>
          </w:p>
          <w:p>
            <w:pPr>
              <w:spacing w:before="0" w:after="0" w:line="264" w:lineRule="auto"/>
              <w:ind w:left="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innen und Patienten, mit dem Auftrag einen belastbaren Modellvergleich zu liefern, den die Prüfer nachprüfen können, wurde eine vollständige end to end Machine Learning Pipeline mit sechs Klassifikatoren, 10 facher Kreuzvalidierung und pro Modell erstellten Konfusionsmatrizen aufgebaut, was einen Modellvergleich ergab, der in der Verteidigung standhielt.</w:t>
            </w:r>
          </w:p>
          <w:p>
            <w:pPr>
              <w:spacing w:before="0" w:after="0" w:line="264" w:lineRule="auto"/>
              <w:ind w:left="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64" w:lineRule="auto"/>
              <w:ind w:left="170"/>
              <w:jc w:val="both"/>
            </w:pPr>
            <w:r>
              <w:rPr>
                <w:b/>
                <w:color w:val="B8663F"/>
                <w:sz w:val="21"/>
              </w:rPr>
              <w:t xml:space="preserve">• </w:t>
            </w:r>
            <w:r>
              <w:rPr>
                <w:b w:val="0"/>
                <w:color w:val="1F2937"/>
                <w:sz w:val="21"/>
              </w:rPr>
              <w:t>Bei einer 65 zu 35 Klassenungleichgewicht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64" w:lineRule="auto"/>
              <w:ind w:left="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10" w:after="0"/>
            </w:pPr>
            <w:r>
              <w:rPr>
                <w:b/>
                <w:color w:val="B8663F"/>
                <w:sz w:val="19"/>
              </w:rPr>
              <w:t xml:space="preserve">Technologies: </w:t>
            </w:r>
            <w:r>
              <w:rPr>
                <w:i/>
                <w:color w:val="6C7A93"/>
                <w:sz w:val="19"/>
              </w:rPr>
              <w:t>Python, scikit learn, Pandas, Seaborn</w:t>
            </w:r>
          </w:p>
        </w:tc>
      </w:tr>
    </w:tbl>
    <w:p>
      <w:pPr>
        <w:spacing w:before="0" w:after="0"/>
      </w:pPr>
      <w:r>
        <w:rPr>
          <w:sz w:val="2"/>
        </w:rPr>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tbl>
      <w:tblPr>
        <w:tblW w:type="auto" w:w="0"/>
        <w:tblLayout w:type="fixed"/>
        <w:tblLook w:firstColumn="1" w:firstRow="1" w:lastColumn="0" w:lastRow="0" w:noHBand="0" w:noVBand="1" w:val="04A0"/>
      </w:tblPr>
      <w:tblGrid>
        <w:gridCol w:w="5213"/>
        <w:gridCol w:w="5213"/>
      </w:tblGrid>
      <w:tr>
        <w:tc>
          <w:tcPr>
            <w:tcW w:type="dxa" w:w="1814"/>
            <w:tcMar>
              <w:top w:w="0" w:type="dxa"/>
              <w:left w:w="0" w:type="dxa"/>
              <w:bottom w:w="0" w:type="dxa"/>
              <w:right w:w="0" w:type="dxa"/>
            </w:tcMar>
          </w:tcPr>
          <w:p>
            <w:pPr>
              <w:spacing w:before="0" w:after="0"/>
            </w:pPr>
            <w:r>
              <w:rPr>
                <w:b/>
                <w:color w:val="1F3A5F"/>
                <w:sz w:val="21"/>
              </w:rPr>
              <w:t>Englisch</w:t>
            </w:r>
          </w:p>
        </w:tc>
        <w:tc>
          <w:tcPr>
            <w:tcW w:type="dxa" w:w="7937"/>
            <w:tcMar>
              <w:top w:w="0" w:type="dxa"/>
              <w:left w:w="0" w:type="dxa"/>
              <w:bottom w:w="0" w:type="dxa"/>
              <w:right w:w="0" w:type="dxa"/>
            </w:tcMar>
          </w:tcPr>
          <w:p>
            <w:pPr>
              <w:spacing w:before="0" w:after="0"/>
            </w:pPr>
            <w:r>
              <w:rPr>
                <w:color w:val="1F2937"/>
                <w:sz w:val="21"/>
              </w:rPr>
              <w:t>Fließend, schriftlich und mündlich</w:t>
            </w:r>
          </w:p>
        </w:tc>
      </w:tr>
      <w:tr>
        <w:tc>
          <w:tcPr>
            <w:tcW w:type="dxa" w:w="1814"/>
            <w:tcMar>
              <w:top w:w="0" w:type="dxa"/>
              <w:left w:w="0" w:type="dxa"/>
              <w:bottom w:w="0" w:type="dxa"/>
              <w:right w:w="0" w:type="dxa"/>
            </w:tcMar>
          </w:tcPr>
          <w:p>
            <w:pPr>
              <w:spacing w:before="0" w:after="0"/>
            </w:pPr>
            <w:r>
              <w:rPr>
                <w:b/>
                <w:color w:val="1F3A5F"/>
                <w:sz w:val="21"/>
              </w:rPr>
              <w:t>Deutsch</w:t>
            </w:r>
          </w:p>
        </w:tc>
        <w:tc>
          <w:tcPr>
            <w:tcW w:type="dxa" w:w="7937"/>
            <w:tcMar>
              <w:top w:w="0" w:type="dxa"/>
              <w:left w:w="0" w:type="dxa"/>
              <w:bottom w:w="0" w:type="dxa"/>
              <w:right w:w="0" w:type="dxa"/>
            </w:tcMar>
          </w:tcPr>
          <w:p>
            <w:pPr>
              <w:spacing w:before="0" w:after="0"/>
            </w:pPr>
            <w:r>
              <w:rPr>
                <w:color w:val="1F2937"/>
                <w:sz w:val="21"/>
              </w:rPr>
              <w:t>B1 laufend Richtung B2</w:t>
            </w:r>
          </w:p>
        </w:tc>
      </w:tr>
      <w:tr>
        <w:tc>
          <w:tcPr>
            <w:tcW w:type="dxa" w:w="1814"/>
            <w:tcMar>
              <w:top w:w="0" w:type="dxa"/>
              <w:left w:w="0" w:type="dxa"/>
              <w:bottom w:w="0" w:type="dxa"/>
              <w:right w:w="0" w:type="dxa"/>
            </w:tcMar>
          </w:tcPr>
          <w:p>
            <w:pPr>
              <w:spacing w:before="0" w:after="0"/>
            </w:pPr>
            <w:r>
              <w:rPr>
                <w:b/>
                <w:color w:val="1F3A5F"/>
                <w:sz w:val="21"/>
              </w:rPr>
              <w:t>Hindi</w:t>
            </w:r>
          </w:p>
        </w:tc>
        <w:tc>
          <w:tcPr>
            <w:tcW w:type="dxa" w:w="7937"/>
            <w:tcMar>
              <w:top w:w="0" w:type="dxa"/>
              <w:left w:w="0" w:type="dxa"/>
              <w:bottom w:w="0" w:type="dxa"/>
              <w:right w:w="0" w:type="dxa"/>
            </w:tcMar>
          </w:tcPr>
          <w:p>
            <w:pPr>
              <w:spacing w:before="0" w:after="0"/>
            </w:pPr>
            <w:r>
              <w:rPr>
                <w:color w:val="1F2937"/>
                <w:sz w:val="21"/>
              </w:rPr>
              <w:t>Muttersprache</w:t>
            </w:r>
          </w:p>
        </w:tc>
      </w:tr>
    </w:tbl>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