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 Thesis Student, ADAS Front Camera Machine Learning</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Data Science and Analytics Master student at SRH Heidelberg based in Mannheim, with hands on machine learning work on real tabular sensor data and rigorous, explainable model evaluation. I have shipped a fairness by design credit scoring system with interpretable SHAP based subgroup analysis validated to EU AI Act thresholds, a recursive time series pipeline at eRay GmbH that benchmarked six models on real sensor data with strict anti leakage rules, and a Random Forest driven study translating raw global event data into calibrated, business relevant risk signals. Comfortable in Python and pandas, Git, and structured statistical evaluation, I am the right fit for a Master Thesis on plausibilizing ADAS front camera impairments using contextual, environmental, and vehicle based signals.</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Built an end to end recursive time series pipeline forecasting chlorophyll a, turbidity, pH, and dissolved oxygen for a German lake, delivered as a six month collaboration with SRH University Heidelberg.</w:t>
            </w:r>
          </w:p>
          <w:p>
            <w:pPr>
              <w:spacing w:before="0" w:after="0" w:line="264" w:lineRule="auto"/>
              <w:ind w:left="170"/>
              <w:jc w:val="both"/>
            </w:pPr>
            <w:r>
              <w:rPr>
                <w:b/>
                <w:color w:val="B8663F"/>
                <w:sz w:val="21"/>
              </w:rPr>
              <w:t xml:space="preserve">• </w:t>
            </w:r>
            <w:r>
              <w:rPr>
                <w:b w:val="0"/>
                <w:color w:val="1F2937"/>
                <w:sz w:val="21"/>
              </w:rPr>
              <w:t xml:space="preserve">Benchmarked six models head to head, Ridge, Gradient Boosting, LightGBM, XGBoost, CatBoost, and Prophet, and used CatBoost multi quantile regression to produce asymmetric </w:t>
            </w:r>
            <w:r>
              <w:rPr>
                <w:b/>
                <w:color w:val="1F3A5F"/>
                <w:sz w:val="21"/>
              </w:rPr>
              <w:t>80 percent</w:t>
            </w:r>
            <w:r>
              <w:rPr>
                <w:b w:val="0"/>
                <w:color w:val="1F2937"/>
                <w:sz w:val="21"/>
              </w:rPr>
              <w:t xml:space="preserve"> prediction intervals for decision support under uncertainty.</w:t>
            </w:r>
          </w:p>
          <w:p>
            <w:pPr>
              <w:spacing w:before="0" w:after="0" w:line="264" w:lineRule="auto"/>
              <w:ind w:left="170"/>
              <w:jc w:val="both"/>
            </w:pPr>
            <w:r>
              <w:rPr>
                <w:b/>
                <w:color w:val="B8663F"/>
                <w:sz w:val="21"/>
              </w:rPr>
              <w:t xml:space="preserve">• </w:t>
            </w:r>
            <w:r>
              <w:rPr>
                <w:b w:val="0"/>
                <w:color w:val="1F2937"/>
                <w:sz w:val="21"/>
              </w:rPr>
              <w:t>Enforced strict anti leakage rules across the pipeline, surfacing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Reconstructed missing winter readings with MICE imputation and engineered a synthetic winter decay forecast canvas so tree based models stopped flatlining during recursive prediction.</w:t>
            </w:r>
          </w:p>
          <w:p>
            <w:pPr>
              <w:spacing w:before="0" w:after="0" w:line="264" w:lineRule="auto"/>
              <w:ind w:left="170"/>
              <w:jc w:val="both"/>
            </w:pPr>
            <w:r>
              <w:rPr>
                <w:b/>
                <w:color w:val="B8663F"/>
                <w:sz w:val="21"/>
              </w:rPr>
              <w:t xml:space="preserve">• </w:t>
            </w:r>
            <w:r>
              <w:rPr>
                <w:b w:val="0"/>
                <w:color w:val="1F2937"/>
                <w:sz w:val="21"/>
              </w:rPr>
              <w:t>Wrapped the whole pipeline in an orchestrator with gate checks and velocity and ecological bounds that halts on failed imputation rather than letting bad data cascade downstream.</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Raised the model's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 xml:space="preserve">, measured against the EU AI Act and AGG </w:t>
            </w:r>
            <w:r>
              <w:rPr>
                <w:b/>
                <w:color w:val="1F3A5F"/>
                <w:sz w:val="21"/>
              </w:rPr>
              <w:t>80 percent</w:t>
            </w:r>
            <w:r>
              <w:rPr>
                <w:b w:val="0"/>
                <w:color w:val="1F2937"/>
                <w:sz w:val="21"/>
              </w:rPr>
              <w:t xml:space="preserve"> fairness threshold, using AIF360 mitigation and threshold calibration on a real credit dataset.</w:t>
            </w:r>
          </w:p>
          <w:p>
            <w:pPr>
              <w:spacing w:before="0" w:after="0" w:line="264" w:lineRule="auto"/>
              <w:ind w:left="170"/>
              <w:jc w:val="both"/>
            </w:pPr>
            <w:r>
              <w:rPr>
                <w:b/>
                <w:color w:val="B8663F"/>
                <w:sz w:val="21"/>
              </w:rPr>
              <w:t xml:space="preserve">• </w:t>
            </w:r>
            <w:r>
              <w:rPr>
                <w:b w:val="0"/>
                <w:color w:val="1F2937"/>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Cut the false negative rate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holding accuracy at </w:t>
            </w:r>
            <w:r>
              <w:rPr>
                <w:b/>
                <w:color w:val="1F3A5F"/>
                <w:sz w:val="21"/>
              </w:rPr>
              <w:t>75 percent</w:t>
            </w:r>
            <w:r>
              <w:rPr>
                <w:b w:val="0"/>
                <w:color w:val="1F2937"/>
                <w:sz w:val="21"/>
              </w:rPr>
              <w:t>, measured on the held out test split, by documenting the fairness accuracy trade off as a deliberate and regulator defensible decision rather than a hidden compromise.</w:t>
            </w:r>
          </w:p>
          <w:p>
            <w:pPr>
              <w:spacing w:before="0" w:after="0" w:line="264" w:lineRule="auto"/>
              <w:ind w:left="170"/>
              <w:jc w:val="both"/>
            </w:pPr>
            <w:r>
              <w:rPr>
                <w:b/>
                <w:color w:val="B8663F"/>
                <w:sz w:val="21"/>
              </w:rPr>
              <w:t xml:space="preserve">• </w:t>
            </w:r>
            <w:r>
              <w:rPr>
                <w:b w:val="0"/>
                <w:color w:val="1F2937"/>
                <w:sz w:val="21"/>
              </w:rPr>
              <w:t xml:space="preserve">Shipped a Streamlit decision support tool that gives finance managers a recommendation plus a plain language LLM generated explanation, measured against GDPR Article 22 and EU AI Act Article 14 human in the loop requirements, and backed the pipeline with unit tests at </w:t>
            </w:r>
            <w:r>
              <w:rPr>
                <w:b/>
                <w:color w:val="1F3A5F"/>
                <w:sz w:val="21"/>
              </w:rPr>
              <w:t>100 percent</w:t>
            </w:r>
            <w:r>
              <w:rPr>
                <w:b w:val="0"/>
                <w:color w:val="1F2937"/>
                <w:sz w:val="21"/>
              </w:rPr>
              <w:t xml:space="preserve"> branch coverage and a full regulatory write up.</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 RAG Orchestrator with Agentic Routing</w:t>
            </w:r>
          </w:p>
          <w:p>
            <w:pPr>
              <w:spacing w:before="0" w:after="0" w:line="264" w:lineRule="auto"/>
              <w:ind w:left="170"/>
              <w:jc w:val="both"/>
            </w:pPr>
            <w:r>
              <w:rPr>
                <w:b/>
                <w:color w:val="B8663F"/>
                <w:sz w:val="21"/>
              </w:rPr>
              <w:t xml:space="preserve">• </w:t>
            </w:r>
            <w:r>
              <w:rPr>
                <w:b w:val="0"/>
                <w:color w:val="1F2937"/>
                <w:sz w:val="21"/>
              </w:rPr>
              <w:t xml:space="preserve">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orchestration.</w:t>
            </w:r>
          </w:p>
          <w:p>
            <w:pPr>
              <w:spacing w:before="0" w:after="0" w:line="264" w:lineRule="auto"/>
              <w:ind w:left="170"/>
              <w:jc w:val="both"/>
            </w:pPr>
            <w:r>
              <w:rPr>
                <w:b/>
                <w:color w:val="B8663F"/>
                <w:sz w:val="21"/>
              </w:rPr>
              <w:t xml:space="preserve">• </w:t>
            </w:r>
            <w:r>
              <w:rPr>
                <w:b w:val="0"/>
                <w:color w:val="1F2937"/>
                <w:sz w:val="21"/>
              </w:rPr>
              <w:t>Built a persistent semantic memory over PDF and vector data, measured by consistent retrieval on cross session queries, using ChromaDB with local persistence and HuggingFace MiniLM L6 v2 embeddings.</w:t>
            </w:r>
          </w:p>
          <w:p>
            <w:pPr>
              <w:spacing w:before="0" w:after="0" w:line="264" w:lineRule="auto"/>
              <w:ind w:left="170"/>
              <w:jc w:val="both"/>
            </w:pPr>
            <w:r>
              <w:rPr>
                <w:b/>
                <w:color w:val="B8663F"/>
                <w:sz w:val="21"/>
              </w:rPr>
              <w:t xml:space="preserve">• </w:t>
            </w:r>
            <w:r>
              <w:rPr>
                <w:b w:val="0"/>
                <w:color w:val="1F2937"/>
                <w:sz w:val="21"/>
              </w:rPr>
              <w:t>Kept multi turn context intact for the LLM, measured by coherent follow up answers rather than isolated single shot responses, by adding a stateful MemoryAgent directly into the inference pipeline.</w:t>
            </w:r>
          </w:p>
          <w:p>
            <w:pPr>
              <w:spacing w:before="0" w:after="0" w:line="264" w:lineRule="auto"/>
              <w:ind w:left="170"/>
              <w:jc w:val="both"/>
            </w:pPr>
            <w:r>
              <w:rPr>
                <w:b/>
                <w:color w:val="B8663F"/>
                <w:sz w:val="21"/>
              </w:rPr>
              <w:t xml:space="preserve">• </w:t>
            </w:r>
            <w:r>
              <w:rPr>
                <w:b w:val="0"/>
                <w:color w:val="1F2937"/>
                <w:sz w:val="21"/>
              </w:rPr>
              <w:t>Shipped the whole system as a Streamlit interface with end to end ownership, measured by a working deployed prototype, using Groq inference and a modular routing layer that can be extended per new intent.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Economic Impact Analysis of Global Climate Events</w:t>
            </w:r>
          </w:p>
          <w:p>
            <w:pPr>
              <w:spacing w:before="0" w:after="0" w:line="264" w:lineRule="auto"/>
              <w:ind w:left="170"/>
              <w:jc w:val="both"/>
            </w:pPr>
            <w:r>
              <w:rPr>
                <w:b/>
                <w:color w:val="B8663F"/>
                <w:sz w:val="21"/>
              </w:rPr>
              <w:t xml:space="preserve">• </w:t>
            </w:r>
            <w:r>
              <w:rPr>
                <w:b w:val="0"/>
                <w:color w:val="1F2937"/>
                <w:sz w:val="21"/>
              </w:rPr>
              <w:t>Executed an end to end data science project transforming raw global event datasets into structured insights for resource allocation and risk assessment, measured by a single reproducible pipeline from raw CSV to a stakeholder report.</w:t>
            </w:r>
          </w:p>
          <w:p>
            <w:pPr>
              <w:spacing w:before="0" w:after="0" w:line="264" w:lineRule="auto"/>
              <w:ind w:left="170"/>
              <w:jc w:val="both"/>
            </w:pPr>
            <w:r>
              <w:rPr>
                <w:b/>
                <w:color w:val="B8663F"/>
                <w:sz w:val="21"/>
              </w:rPr>
              <w:t xml:space="preserve">• </w:t>
            </w:r>
            <w:r>
              <w:rPr>
                <w:b w:val="0"/>
                <w:color w:val="1F2937"/>
                <w:sz w:val="21"/>
              </w:rPr>
              <w:t>Performed advanced data preparation and cleansing over outliers, imputation, and normalisation, measured by stable model performance before and after feature scaling, to build a high quality data foundation.</w:t>
            </w:r>
          </w:p>
          <w:p>
            <w:pPr>
              <w:spacing w:before="0" w:after="0" w:line="264" w:lineRule="auto"/>
              <w:ind w:left="170"/>
              <w:jc w:val="both"/>
            </w:pPr>
            <w:r>
              <w:rPr>
                <w:b/>
                <w:color w:val="B8663F"/>
                <w:sz w:val="21"/>
              </w:rPr>
              <w:t xml:space="preserve">• </w:t>
            </w:r>
            <w:r>
              <w:rPr>
                <w:b w:val="0"/>
                <w:color w:val="1F2937"/>
                <w:sz w:val="21"/>
              </w:rPr>
              <w:t>Developed Random Forest models to analyse correlations between event duration and financial impact, measured by feature importance rankings and residual analysis, extracting clear business relevant insights on where economic risk concentrates.</w:t>
            </w:r>
          </w:p>
          <w:p>
            <w:pPr>
              <w:spacing w:before="0" w:after="0" w:line="264" w:lineRule="auto"/>
              <w:ind w:left="170"/>
              <w:jc w:val="both"/>
            </w:pPr>
            <w:r>
              <w:rPr>
                <w:b/>
                <w:color w:val="B8663F"/>
                <w:sz w:val="21"/>
              </w:rPr>
              <w:t xml:space="preserve">• </w:t>
            </w:r>
            <w:r>
              <w:rPr>
                <w:b w:val="0"/>
                <w:color w:val="1F2937"/>
                <w:sz w:val="21"/>
              </w:rPr>
              <w:t>Communicated complex statistical findings to non technical stakeholders, measured by comprehensive visual reports and calibrated confidence statements that could survive a management review.</w:t>
            </w:r>
          </w:p>
          <w:p>
            <w:pPr>
              <w:spacing w:before="10" w:after="0"/>
            </w:pPr>
            <w:r>
              <w:rPr>
                <w:b/>
                <w:color w:val="B8663F"/>
                <w:sz w:val="19"/>
              </w:rPr>
              <w:t xml:space="preserve">Technologies: </w:t>
            </w:r>
            <w:r>
              <w:rPr>
                <w:i/>
                <w:color w:val="6C7A93"/>
                <w:sz w:val="19"/>
              </w:rPr>
              <w:t>Python with Pandas and scikit learn, Random Forest, statistical modelling, Matplotlib and Seaborn</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Built a full end to end machine learning pipeline comparing six classifiers on a clinical dataset of </w:t>
            </w:r>
            <w:r>
              <w:rPr>
                <w:b/>
                <w:color w:val="1F3A5F"/>
                <w:sz w:val="21"/>
              </w:rPr>
              <w:t>768 patients</w:t>
            </w:r>
            <w:r>
              <w:rPr>
                <w:b w:val="0"/>
                <w:color w:val="1F2937"/>
                <w:sz w:val="21"/>
              </w:rPr>
              <w:t xml:space="preserve">, using </w:t>
            </w:r>
            <w:r>
              <w:rPr>
                <w:b/>
                <w:color w:val="1F3A5F"/>
                <w:sz w:val="21"/>
              </w:rPr>
              <w:t>10 fold</w:t>
            </w:r>
            <w:r>
              <w:rPr>
                <w:b w:val="0"/>
                <w:color w:val="1F2937"/>
                <w:sz w:val="21"/>
              </w:rPr>
              <w:t xml:space="preserve"> cross validation and per model confusion matrices to make the model comparison auditable.</w:t>
            </w:r>
          </w:p>
          <w:p>
            <w:pPr>
              <w:spacing w:before="0" w:after="0" w:line="264" w:lineRule="auto"/>
              <w:ind w:left="170"/>
              <w:jc w:val="both"/>
            </w:pPr>
            <w:r>
              <w:rPr>
                <w:b/>
                <w:color w:val="B8663F"/>
                <w:sz w:val="21"/>
              </w:rPr>
              <w:t xml:space="preserve">• </w:t>
            </w:r>
            <w:r>
              <w:rPr>
                <w:b w:val="0"/>
                <w:color w:val="1F2937"/>
                <w:sz w:val="21"/>
              </w:rPr>
              <w:t>Caught biologically impossible zero values that the original authors had overlooked, then applied IQR based outlier removal and proper imputation to restore data integrity before any model fit.</w:t>
            </w:r>
          </w:p>
          <w:p>
            <w:pPr>
              <w:spacing w:before="0" w:after="0" w:line="264" w:lineRule="auto"/>
              <w:ind w:left="170"/>
              <w:jc w:val="both"/>
            </w:pPr>
            <w:r>
              <w:rPr>
                <w:b/>
                <w:color w:val="B8663F"/>
                <w:sz w:val="21"/>
              </w:rPr>
              <w:t xml:space="preserve">• </w:t>
            </w:r>
            <w:r>
              <w:rPr>
                <w:b w:val="0"/>
                <w:color w:val="1F2937"/>
                <w:sz w:val="21"/>
              </w:rPr>
              <w:t xml:space="preserve">Chose ROC AUC over accuracy as the headline metric for a </w:t>
            </w:r>
            <w:r>
              <w:rPr>
                <w:b/>
                <w:color w:val="1F3A5F"/>
                <w:sz w:val="21"/>
              </w:rPr>
              <w:t>65 to 35</w:t>
            </w:r>
            <w:r>
              <w:rPr>
                <w:b w:val="0"/>
                <w:color w:val="1F2937"/>
                <w:sz w:val="21"/>
              </w:rPr>
              <w:t xml:space="preserve"> imbalanced dataset, avoiding a misleadingly rosy accuracy figure that would have hidden real error patterns in the minority class.</w:t>
            </w:r>
          </w:p>
          <w:p>
            <w:pPr>
              <w:spacing w:before="0" w:after="0" w:line="264" w:lineRule="auto"/>
              <w:ind w:left="170"/>
              <w:jc w:val="both"/>
            </w:pPr>
            <w:r>
              <w:rPr>
                <w:b/>
                <w:color w:val="B8663F"/>
                <w:sz w:val="21"/>
              </w:rPr>
              <w:t xml:space="preserve">• </w:t>
            </w:r>
            <w:r>
              <w:rPr>
                <w:b w:val="0"/>
                <w:color w:val="1F2937"/>
                <w:sz w:val="21"/>
              </w:rPr>
              <w:t>Wrote up findings as an IEEE style paper including an honest section on limitations and what to do differently in a follow up study,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p>
      <w:pPr>
        <w:spacing w:before="20" w:after="0" w:line="240" w:lineRule="auto"/>
      </w:pPr>
      <w:r>
        <w:rPr>
          <w:color w:val="1F2937"/>
          <w:sz w:val="21"/>
        </w:rPr>
        <w:t>Mannheim, 22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