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Calibri" w:hAnsi="Calibri"/>
          <w:b/>
          <w:i w:val="0"/>
          <w:color w:val="1F5F6B"/>
          <w:sz w:val="38"/>
        </w:rPr>
        <w:t>Rahul Rawat</w:t>
      </w:r>
    </w:p>
    <w:p>
      <w:pPr>
        <w:spacing w:after="20"/>
        <w:jc w:val="left"/>
      </w:pPr>
      <w:r>
        <w:rPr>
          <w:rFonts w:ascii="Calibri" w:hAnsi="Calibri"/>
          <w:b/>
          <w:i w:val="0"/>
          <w:color w:val="B8663F"/>
          <w:sz w:val="21"/>
        </w:rPr>
        <w:t>Master Thesis Student</w:t>
      </w:r>
    </w:p>
    <w:p>
      <w:pPr>
        <w:spacing w:after="80"/>
        <w:jc w:val="left"/>
        <w:pBdr>
          <w:bottom w:val="single" w:sz="4" w:space="1" w:color="E6E0D3"/>
        </w:pBdr>
      </w:pPr>
      <w:r>
        <w:rPr>
          <w:rFonts w:ascii="Calibri" w:hAnsi="Calibri"/>
          <w:b w:val="0"/>
          <w:i w:val="0"/>
          <w:color w:val="4A5361"/>
          <w:sz w:val="20"/>
        </w:rPr>
        <w:t>rahulrawat2r@gmail.com  •  015563603340  •  linkedin.com/in/rahulrawat2r  •  github.com/rahulrawat20022002  •  Mannheim, Germany</w:t>
      </w:r>
    </w:p>
    <w:p>
      <w:pPr>
        <w:spacing w:before="80" w:after="40"/>
        <w:jc w:val="left"/>
      </w:pPr>
      <w:r>
        <w:rPr>
          <w:rFonts w:ascii="Calibri" w:hAnsi="Calibri"/>
          <w:b/>
          <w:i w:val="0"/>
          <w:color w:val="1F5F6B"/>
          <w:sz w:val="25"/>
        </w:rPr>
        <w:t>PROFILE</w:t>
      </w:r>
    </w:p>
    <w:p>
      <w:pPr>
        <w:spacing w:after="40"/>
        <w:jc w:val="both"/>
        <w:pBdr>
          <w:bottom w:val="single" w:sz="4" w:space="1" w:color="E6E0D3"/>
        </w:pBdr>
      </w:pPr>
      <w:r>
        <w:rPr>
          <w:rFonts w:ascii="Calibri" w:hAnsi="Calibri"/>
          <w:b w:val="0"/>
          <w:i w:val="0"/>
          <w:color w:val="2B2F3A"/>
          <w:sz w:val="21"/>
        </w:rPr>
        <w:t>Data Science and Analytics Master student at SRH Heidelberg based in Mannheim, combining Retrieval Augmented Generation engineering with hands on time series forecasting on real industrial data. My Hybrid RAG Orchestrator classifies user intent across retrieval, web search, and conversation on Llama 3.1, and my six month collaboration with eRay GmbH built a recursive forecasting pipeline benchmarking six models from Ridge and Gradient Boosting to CatBoost multi quantile regression and Prophet. I also shipped a full EU AI Act and GDPR compliance case on the CreditIQ project, which is directly relevant to a Regulatory Intelligence thesis brief.</w:t>
      </w:r>
    </w:p>
    <w:p>
      <w:pPr>
        <w:spacing w:before="80" w:after="40"/>
        <w:jc w:val="left"/>
      </w:pPr>
      <w:r>
        <w:rPr>
          <w:rFonts w:ascii="Calibri" w:hAnsi="Calibri"/>
          <w:b/>
          <w:i w:val="0"/>
          <w:color w:val="1F5F6B"/>
          <w:sz w:val="25"/>
        </w:rPr>
        <w:t>EDUCATION</w:t>
      </w:r>
    </w:p>
    <w:p>
      <w:pPr>
        <w:tabs>
          <w:tab w:pos="9354" w:val="right"/>
        </w:tabs>
        <w:spacing w:before="40" w:after="0"/>
        <w:jc w:val="left"/>
      </w:pPr>
      <w:r>
        <w:rPr>
          <w:rFonts w:ascii="Calibri" w:hAnsi="Calibri"/>
          <w:b/>
          <w:i w:val="0"/>
          <w:color w:val="1F5F6B"/>
          <w:sz w:val="23"/>
        </w:rPr>
        <w:t>M.Sc. Data Science and Analytics</w:t>
      </w:r>
      <w:r>
        <w:rPr>
          <w:rFonts w:ascii="Calibri" w:hAnsi="Calibri"/>
          <w:b w:val="0"/>
          <w:i w:val="0"/>
          <w:color w:val="1F5F6B"/>
          <w:sz w:val="23"/>
        </w:rPr>
        <w:tab/>
      </w:r>
      <w:r>
        <w:rPr>
          <w:rFonts w:ascii="Calibri" w:hAnsi="Calibri"/>
          <w:b/>
          <w:i w:val="0"/>
          <w:color w:val="B8663F"/>
          <w:sz w:val="20"/>
        </w:rPr>
        <w:t>Apr 2025 to Present</w:t>
      </w:r>
    </w:p>
    <w:p>
      <w:pPr>
        <w:spacing w:after="40"/>
        <w:jc w:val="left"/>
      </w:pPr>
      <w:r>
        <w:rPr>
          <w:rFonts w:ascii="Calibri" w:hAnsi="Calibri"/>
          <w:b w:val="0"/>
          <w:i/>
          <w:color w:val="7A6B58"/>
          <w:sz w:val="21"/>
        </w:rPr>
        <w:t>SRH University of Applied Sciences Heidelberg</w:t>
      </w:r>
    </w:p>
    <w:p>
      <w:pPr>
        <w:tabs>
          <w:tab w:pos="9354" w:val="right"/>
        </w:tabs>
        <w:spacing w:before="40" w:after="0"/>
        <w:jc w:val="left"/>
      </w:pPr>
      <w:r>
        <w:rPr>
          <w:rFonts w:ascii="Calibri" w:hAnsi="Calibri"/>
          <w:b/>
          <w:i w:val="0"/>
          <w:color w:val="1F5F6B"/>
          <w:sz w:val="23"/>
        </w:rPr>
        <w:t>Bachelor of Technology in Computer Science</w:t>
      </w:r>
      <w:r>
        <w:rPr>
          <w:rFonts w:ascii="Calibri" w:hAnsi="Calibri"/>
          <w:b w:val="0"/>
          <w:i w:val="0"/>
          <w:color w:val="1F5F6B"/>
          <w:sz w:val="23"/>
        </w:rPr>
        <w:tab/>
      </w:r>
      <w:r>
        <w:rPr>
          <w:rFonts w:ascii="Calibri" w:hAnsi="Calibri"/>
          <w:b/>
          <w:i w:val="0"/>
          <w:color w:val="B8663F"/>
          <w:sz w:val="20"/>
        </w:rPr>
        <w:t>2019 to 2023</w:t>
      </w:r>
    </w:p>
    <w:p>
      <w:pPr>
        <w:spacing w:after="40"/>
        <w:jc w:val="left"/>
        <w:pBdr>
          <w:bottom w:val="single" w:sz="4" w:space="1" w:color="E6E0D3"/>
        </w:pBdr>
      </w:pPr>
      <w:r>
        <w:rPr>
          <w:rFonts w:ascii="Calibri" w:hAnsi="Calibri"/>
          <w:b w:val="0"/>
          <w:i/>
          <w:color w:val="7A6B58"/>
          <w:sz w:val="21"/>
        </w:rPr>
        <w:t>GL Bajaj Institute of Technology and Management</w:t>
      </w:r>
    </w:p>
    <w:p>
      <w:pPr>
        <w:spacing w:before="80" w:after="40"/>
        <w:jc w:val="left"/>
      </w:pPr>
      <w:r>
        <w:rPr>
          <w:rFonts w:ascii="Calibri" w:hAnsi="Calibri"/>
          <w:b/>
          <w:i w:val="0"/>
          <w:color w:val="1F5F6B"/>
          <w:sz w:val="25"/>
        </w:rPr>
        <w:t>EXPERIENCE</w:t>
      </w:r>
    </w:p>
    <w:p>
      <w:pPr>
        <w:tabs>
          <w:tab w:pos="9354" w:val="right"/>
        </w:tabs>
        <w:spacing w:before="40" w:after="0"/>
        <w:jc w:val="left"/>
      </w:pPr>
      <w:r>
        <w:rPr>
          <w:rFonts w:ascii="Calibri" w:hAnsi="Calibri"/>
          <w:b/>
          <w:i w:val="0"/>
          <w:color w:val="1F5F6B"/>
          <w:sz w:val="23"/>
        </w:rPr>
        <w:t>eRay GmbH</w:t>
      </w:r>
    </w:p>
    <w:p>
      <w:pPr>
        <w:spacing w:after="40"/>
        <w:jc w:val="left"/>
      </w:pPr>
      <w:r>
        <w:rPr>
          <w:rFonts w:ascii="Calibri" w:hAnsi="Calibri"/>
          <w:b w:val="0"/>
          <w:i/>
          <w:color w:val="7A6B58"/>
          <w:sz w:val="21"/>
        </w:rPr>
        <w:t>Data Scientist · Oct 2025 to Mar 2026</w:t>
      </w:r>
    </w:p>
    <w:p>
      <w:pPr>
        <w:pStyle w:val="ListBullet"/>
        <w:spacing w:after="20"/>
        <w:jc w:val="both"/>
      </w:pP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w:t>
      </w:r>
    </w:p>
    <w:p>
      <w:pPr>
        <w:pStyle w:val="ListBullet"/>
        <w:spacing w:after="20"/>
        <w:jc w:val="both"/>
      </w:pP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w:t>
      </w:r>
    </w:p>
    <w:p>
      <w:pPr>
        <w:pStyle w:val="ListBullet"/>
        <w:spacing w:after="20"/>
        <w:jc w:val="both"/>
        <w:pBdr>
          <w:bottom w:val="single" w:sz="4" w:space="1" w:color="E6E0D3"/>
        </w:pBdr>
      </w:pP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80" w:after="40"/>
        <w:jc w:val="left"/>
      </w:pPr>
      <w:r>
        <w:rPr>
          <w:rFonts w:ascii="Calibri" w:hAnsi="Calibri"/>
          <w:b/>
          <w:i w:val="0"/>
          <w:color w:val="1F5F6B"/>
          <w:sz w:val="25"/>
        </w:rPr>
        <w:t>PERSONAL PROJECTS</w:t>
      </w:r>
    </w:p>
    <w:p>
      <w:pPr>
        <w:spacing w:before="40" w:after="20"/>
        <w:jc w:val="left"/>
      </w:pPr>
      <w:r>
        <w:rPr>
          <w:rFonts w:ascii="Calibri" w:hAnsi="Calibri"/>
          <w:b/>
          <w:i w:val="0"/>
          <w:color w:val="1F5F6B"/>
          <w:sz w:val="23"/>
        </w:rPr>
        <w:t>Hybrid RAG Orchestrator</w:t>
      </w:r>
      <w:r>
        <w:rPr>
          <w:rFonts w:ascii="Calibri" w:hAnsi="Calibri"/>
          <w:b w:val="0"/>
          <w:i/>
          <w:color w:val="7A6B58"/>
          <w:sz w:val="21"/>
        </w:rPr>
        <w:t>: Python, LangChain, Llama 3.1 8b on Groq, ChromaDB, HuggingFace MiniLM L6 v2, Streamlit</w:t>
      </w:r>
    </w:p>
    <w:p>
      <w:pPr>
        <w:pStyle w:val="ListBullet"/>
        <w:spacing w:after="20"/>
        <w:jc w:val="both"/>
      </w:pPr>
      <w:r>
        <w:rPr>
          <w:rFonts w:ascii="Calibri" w:hAnsi="Calibri"/>
          <w:b w:val="0"/>
          <w:i w:val="0"/>
          <w:color w:val="2B2F3A"/>
          <w:sz w:val="21"/>
        </w:rPr>
        <w:t>Designed a modular Retrieval Augmented Generation system using Llama 3.1 8b via Groq for high speed inference and LangChain for orchestration across multiple execution paths.</w:t>
      </w:r>
    </w:p>
    <w:p>
      <w:pPr>
        <w:pStyle w:val="ListBullet"/>
        <w:spacing w:after="20"/>
        <w:jc w:val="both"/>
      </w:pPr>
      <w:r>
        <w:rPr>
          <w:rFonts w:ascii="Calibri" w:hAnsi="Calibri"/>
          <w:b w:val="0"/>
          <w:i w:val="0"/>
          <w:color w:val="2B2F3A"/>
          <w:sz w:val="21"/>
        </w:rPr>
        <w:t>Engineered a custom decision making router that dynamically classifies user intent into three execution paths, local knowledge retrieval on PDF and vector stores, external web search through DuckDuckGo, and direct conversational logic.</w:t>
      </w:r>
    </w:p>
    <w:p>
      <w:pPr>
        <w:pStyle w:val="ListBullet"/>
        <w:spacing w:after="20"/>
        <w:jc w:val="both"/>
      </w:pPr>
      <w:r>
        <w:rPr>
          <w:rFonts w:ascii="Calibri" w:hAnsi="Calibri"/>
          <w:b w:val="0"/>
          <w:i w:val="0"/>
          <w:color w:val="2B2F3A"/>
          <w:sz w:val="21"/>
        </w:rPr>
        <w:t>Implemented ChromaDB with local persistence for document storage, using HuggingFace MiniLM L6 v2 for semantic embeddings tuned for retrieval quality.</w:t>
      </w:r>
    </w:p>
    <w:p>
      <w:pPr>
        <w:pStyle w:val="ListBullet"/>
        <w:spacing w:after="20"/>
        <w:jc w:val="both"/>
      </w:pPr>
      <w:r>
        <w:rPr>
          <w:rFonts w:ascii="Calibri" w:hAnsi="Calibri"/>
          <w:b w:val="0"/>
          <w:i w:val="0"/>
          <w:color w:val="2B2F3A"/>
          <w:sz w:val="21"/>
        </w:rPr>
        <w:t>Built a stateful MemoryAgent that maintains conversational context across multiple turns and integrated it directly into the inference pipeline for coherent multi turn behaviour.</w:t>
      </w:r>
    </w:p>
    <w:p>
      <w:pPr>
        <w:pStyle w:val="ListBullet"/>
        <w:spacing w:after="20"/>
        <w:jc w:val="both"/>
      </w:pPr>
      <w:r>
        <w:rPr>
          <w:rFonts w:ascii="Calibri" w:hAnsi="Calibri"/>
          <w:b w:val="0"/>
          <w:i w:val="0"/>
          <w:color w:val="2B2F3A"/>
          <w:sz w:val="21"/>
        </w:rPr>
        <w:t>Shipped the whole system behind a Streamlit interface as a deployed end to end tool, owning the design, implementation, and rollout in full.</w:t>
      </w:r>
    </w:p>
    <w:p>
      <w:pPr>
        <w:spacing w:before="40" w:after="20"/>
        <w:jc w:val="left"/>
      </w:pPr>
      <w:r>
        <w:rPr>
          <w:rFonts w:ascii="Calibri" w:hAnsi="Calibri"/>
          <w:b/>
          <w:i w:val="0"/>
          <w:color w:val="1F5F6B"/>
          <w:sz w:val="23"/>
        </w:rPr>
        <w:t>CreditIQ, Fairness by Design Credit Scoring System</w:t>
      </w:r>
      <w:r>
        <w:rPr>
          <w:rFonts w:ascii="Calibri" w:hAnsi="Calibri"/>
          <w:b w:val="0"/>
          <w:i/>
          <w:color w:val="7A6B58"/>
          <w:sz w:val="21"/>
        </w:rPr>
        <w:t>: Python, scikit learn, AIF360, SHAP, Streamlit</w:t>
      </w:r>
    </w:p>
    <w:p>
      <w:pPr>
        <w:pStyle w:val="ListBullet"/>
        <w:spacing w:after="20"/>
        <w:jc w:val="both"/>
      </w:pPr>
      <w:r>
        <w:rPr>
          <w:rFonts w:ascii="Calibri" w:hAnsi="Calibri"/>
          <w:b w:val="0"/>
          <w:i w:val="0"/>
          <w:color w:val="2B2F3A"/>
          <w:sz w:val="21"/>
        </w:rPr>
        <w:t>Lifted the model's Disparate Impact ratio from a failing 0.79 to a compliant 0.88, clearing the EU AI Act and AGG 80 percent fairness threshold.</w:t>
      </w:r>
    </w:p>
    <w:p>
      <w:pPr>
        <w:pStyle w:val="ListBullet"/>
        <w:spacing w:after="20"/>
        <w:jc w:val="both"/>
      </w:pPr>
      <w:r>
        <w:rPr>
          <w:rFonts w:ascii="Calibri" w:hAnsi="Calibri"/>
          <w:b w:val="0"/>
          <w:i w:val="0"/>
          <w:color w:val="2B2F3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pStyle w:val="ListBullet"/>
        <w:spacing w:after="20"/>
        <w:jc w:val="both"/>
      </w:pPr>
      <w:r>
        <w:rPr>
          <w:rFonts w:ascii="Calibri" w:hAnsi="Calibri"/>
          <w:b w:val="0"/>
          <w:i w:val="0"/>
          <w:color w:val="2B2F3A"/>
          <w:sz w:val="21"/>
        </w:rPr>
        <w:t>Cut the false negative rate from 44 percent to 16.7 percent while holding accuracy at 75 percent, documenting the fairness accuracy trade off as a deliberate and regulator defensible decision.</w:t>
      </w:r>
    </w:p>
    <w:p>
      <w:pPr>
        <w:pStyle w:val="ListBullet"/>
        <w:spacing w:after="20"/>
        <w:jc w:val="both"/>
      </w:pPr>
      <w:r>
        <w:rPr>
          <w:rFonts w:ascii="Calibri" w:hAnsi="Calibri"/>
          <w:b w:val="0"/>
          <w:i w:val="0"/>
          <w:color w:val="2B2F3A"/>
          <w:sz w:val="21"/>
        </w:rPr>
        <w:t>Shipped a Streamlit decision support tool giving finance managers a recommendation plus a plain language LLM generated explanation, keeping a human in the loop per GDPR Article 22 and EU AI Act Article 14.</w:t>
      </w:r>
    </w:p>
    <w:p>
      <w:pPr>
        <w:pStyle w:val="ListBullet"/>
        <w:spacing w:after="20"/>
        <w:jc w:val="both"/>
      </w:pPr>
      <w:r>
        <w:rPr>
          <w:rFonts w:ascii="Calibri" w:hAnsi="Calibri"/>
          <w:b w:val="0"/>
          <w:i w:val="0"/>
          <w:color w:val="2B2F3A"/>
          <w:sz w:val="21"/>
        </w:rPr>
        <w:t>Backed the pipeline with unit tests at 100 percent branch coverage and a full regulatory write up covering EU AI Act Annex III, GDPR, a model card, and attack vectors.</w:t>
      </w:r>
    </w:p>
    <w:p>
      <w:pPr>
        <w:spacing w:before="40" w:after="20"/>
        <w:jc w:val="left"/>
      </w:pPr>
      <w:r>
        <w:rPr>
          <w:rFonts w:ascii="Calibri" w:hAnsi="Calibri"/>
          <w:b/>
          <w:i w:val="0"/>
          <w:color w:val="1F5F6B"/>
          <w:sz w:val="23"/>
        </w:rPr>
        <w:t>Economic Impact Analysis of Global Climate Events</w:t>
      </w:r>
      <w:r>
        <w:rPr>
          <w:rFonts w:ascii="Calibri" w:hAnsi="Calibri"/>
          <w:b w:val="0"/>
          <w:i/>
          <w:color w:val="7A6B58"/>
          <w:sz w:val="21"/>
        </w:rPr>
        <w:t>: Python with Pandas and scikit learn, Matplotlib, Seaborn, Random Forest, statistical modelling</w:t>
      </w:r>
    </w:p>
    <w:p>
      <w:pPr>
        <w:pStyle w:val="ListBullet"/>
        <w:spacing w:after="20"/>
        <w:jc w:val="both"/>
      </w:pPr>
      <w:r>
        <w:rPr>
          <w:rFonts w:ascii="Calibri" w:hAnsi="Calibri"/>
          <w:b w:val="0"/>
          <w:i w:val="0"/>
          <w:color w:val="2B2F3A"/>
          <w:sz w:val="21"/>
        </w:rPr>
        <w:t>Executed an end to end data science project transforming raw global event datasets into structured insights that support resource allocation and risk assessment.</w:t>
      </w:r>
    </w:p>
    <w:p>
      <w:pPr>
        <w:pStyle w:val="ListBullet"/>
        <w:spacing w:after="20"/>
        <w:jc w:val="both"/>
      </w:pPr>
      <w:r>
        <w:rPr>
          <w:rFonts w:ascii="Calibri" w:hAnsi="Calibri"/>
          <w:b w:val="0"/>
          <w:i w:val="0"/>
          <w:color w:val="2B2F3A"/>
          <w:sz w:val="21"/>
        </w:rPr>
        <w:t>Performed advanced data preparation and cleansing including outlier handling, imputation, and normalisation to build a high quality data foundation.</w:t>
      </w:r>
    </w:p>
    <w:p>
      <w:pPr>
        <w:pStyle w:val="ListBullet"/>
        <w:spacing w:after="20"/>
        <w:jc w:val="both"/>
      </w:pPr>
      <w:r>
        <w:rPr>
          <w:rFonts w:ascii="Calibri" w:hAnsi="Calibri"/>
          <w:b w:val="0"/>
          <w:i w:val="0"/>
          <w:color w:val="2B2F3A"/>
          <w:sz w:val="21"/>
        </w:rPr>
        <w:t>Developed Random Forest models to analyse correlations between disaster duration and financial impact and extracted clear business relevant insights.</w:t>
      </w:r>
    </w:p>
    <w:p>
      <w:pPr>
        <w:pStyle w:val="ListBullet"/>
        <w:spacing w:after="20"/>
        <w:jc w:val="both"/>
        <w:pBdr>
          <w:bottom w:val="single" w:sz="4" w:space="1" w:color="E6E0D3"/>
        </w:pBdr>
      </w:pPr>
      <w:r>
        <w:rPr>
          <w:rFonts w:ascii="Calibri" w:hAnsi="Calibri"/>
          <w:b w:val="0"/>
          <w:i w:val="0"/>
          <w:color w:val="2B2F3A"/>
          <w:sz w:val="21"/>
        </w:rPr>
        <w:t>Communicated complex statistical findings to non technical stakeholders through comprehensive visual reports and executive summaries.</w:t>
      </w:r>
    </w:p>
    <w:p>
      <w:pPr>
        <w:spacing w:before="80" w:after="40"/>
        <w:jc w:val="left"/>
      </w:pPr>
      <w:r>
        <w:rPr>
          <w:rFonts w:ascii="Calibri" w:hAnsi="Calibri"/>
          <w:b/>
          <w:i w:val="0"/>
          <w:color w:val="1F5F6B"/>
          <w:sz w:val="25"/>
        </w:rPr>
        <w:t>RESEARCH AND THESIS</w:t>
      </w:r>
    </w:p>
    <w:p>
      <w:pPr>
        <w:tabs>
          <w:tab w:pos="9354" w:val="right"/>
        </w:tabs>
        <w:spacing w:before="40" w:after="0"/>
        <w:jc w:val="left"/>
      </w:pPr>
      <w:r>
        <w:rPr>
          <w:rFonts w:ascii="Calibri" w:hAnsi="Calibri"/>
          <w:b/>
          <w:i w:val="0"/>
          <w:color w:val="1F5F6B"/>
          <w:sz w:val="23"/>
        </w:rPr>
        <w:t>Bachelor Thesis, Diabetes Prediction Using Machine Learning</w:t>
      </w:r>
    </w:p>
    <w:p>
      <w:pPr>
        <w:spacing w:after="40"/>
        <w:jc w:val="left"/>
      </w:pPr>
      <w:r>
        <w:rPr>
          <w:rFonts w:ascii="Calibri" w:hAnsi="Calibri"/>
          <w:b w:val="0"/>
          <w:i/>
          <w:color w:val="7A6B58"/>
          <w:sz w:val="21"/>
        </w:rPr>
        <w:t>GL Bajaj Institute of Technology and Management, IEEE style paper</w:t>
      </w:r>
    </w:p>
    <w:p>
      <w:pPr>
        <w:pStyle w:val="ListBullet"/>
        <w:spacing w:after="20"/>
        <w:jc w:val="both"/>
      </w:pPr>
      <w:r>
        <w:rPr>
          <w:rFonts w:ascii="Calibri" w:hAnsi="Calibri"/>
          <w:b w:val="0"/>
          <w:i w:val="0"/>
          <w:color w:val="2B2F3A"/>
          <w:sz w:val="21"/>
        </w:rPr>
        <w:t>Built a full end to end machine learning pipeline comparing six classifiers on a clinical diabetes dataset of 768 patients, using 10 fold cross validation and per model confusion matrices.</w:t>
      </w:r>
    </w:p>
    <w:p>
      <w:pPr>
        <w:pStyle w:val="ListBullet"/>
        <w:spacing w:after="20"/>
        <w:jc w:val="both"/>
      </w:pP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Bdr>
          <w:bottom w:val="single" w:sz="4" w:space="1" w:color="E6E0D3"/>
        </w:pBdr>
      </w:pPr>
      <w:r>
        <w:rPr>
          <w:rFonts w:ascii="Calibri" w:hAnsi="Calibri"/>
          <w:b w:val="0"/>
          <w:i w:val="0"/>
          <w:color w:val="2B2F3A"/>
          <w:sz w:val="21"/>
        </w:rPr>
        <w:t>Wrote up findings as an IEEE style paper including an honest section on limitations and what to do differently in a follow up study.</w:t>
      </w:r>
    </w:p>
    <w:p>
      <w:pPr>
        <w:spacing w:before="80" w:after="40"/>
        <w:jc w:val="left"/>
      </w:pPr>
      <w:r>
        <w:rPr>
          <w:rFonts w:ascii="Calibri" w:hAnsi="Calibri"/>
          <w:b/>
          <w:i w:val="0"/>
          <w:color w:val="1F5F6B"/>
          <w:sz w:val="25"/>
        </w:rPr>
        <w:t>LANGUAGES</w:t>
      </w:r>
    </w:p>
    <w:p>
      <w:pPr>
        <w:jc w:val="both"/>
        <w:pBdr>
          <w:bottom w:val="single" w:sz="4" w:space="1" w:color="E6E0D3"/>
        </w:pBdr>
      </w:pPr>
      <w:r>
        <w:rPr>
          <w:rFonts w:ascii="Calibri" w:hAnsi="Calibri"/>
          <w:b w:val="0"/>
          <w:i w:val="0"/>
          <w:color w:val="2B2F3A"/>
          <w:sz w:val="21"/>
        </w:rPr>
        <w:t>English: fluent, professional working proficiency. German: B1, in progress.</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