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Masterarbeit im Bereich Process Mining</w:t>
      </w:r>
    </w:p>
    <w:p>
      <w:pPr>
        <w:keepNext/>
        <w:spacing w:before="20" w:after="0"/>
        <w:pBdr>
          <w:bottom w:val="single" w:sz="6" w:space="1" w:color="B7C0CE"/>
        </w:pBdr>
      </w:pPr>
      <w:r>
        <w:rPr>
          <w:b/>
          <w:color w:val="1F3A5F"/>
          <w:sz w:val="21"/>
        </w:rPr>
        <w:t>P E R S Ö N L I C H E   D A T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Adresse</w:t>
            </w:r>
          </w:p>
        </w:tc>
        <w:tc>
          <w:tcPr>
            <w:tcW w:type="dxa" w:w="7937"/>
            <w:tcMar>
              <w:top w:w="0" w:type="dxa"/>
              <w:left w:w="0" w:type="dxa"/>
              <w:bottom w:w="0" w:type="dxa"/>
              <w:right w:w="0" w:type="dxa"/>
            </w:tcMar>
          </w:tcPr>
          <w:p>
            <w:pPr>
              <w:spacing w:before="0" w:after="0"/>
            </w:pPr>
            <w:r>
              <w:rPr>
                <w:color w:val="1F2937"/>
                <w:sz w:val="21"/>
              </w:rPr>
              <w:t>C2 16, 68159 Mannheim, Deutschland</w:t>
            </w:r>
          </w:p>
        </w:tc>
      </w:tr>
      <w:tr>
        <w:tc>
          <w:tcPr>
            <w:tcW w:type="dxa" w:w="1814"/>
            <w:tcMar>
              <w:top w:w="0" w:type="dxa"/>
              <w:left w:w="0" w:type="dxa"/>
              <w:bottom w:w="0" w:type="dxa"/>
              <w:right w:w="0" w:type="dxa"/>
            </w:tcMar>
          </w:tcPr>
          <w:p>
            <w:pPr>
              <w:spacing w:before="0" w:after="0"/>
            </w:pPr>
            <w:r>
              <w:rPr>
                <w:b/>
                <w:color w:val="1F3A5F"/>
                <w:sz w:val="21"/>
              </w:rPr>
              <w:t>Telefon</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Geburtsdatum</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Nationalität</w:t>
            </w:r>
          </w:p>
        </w:tc>
        <w:tc>
          <w:tcPr>
            <w:tcW w:type="dxa" w:w="7937"/>
            <w:tcMar>
              <w:top w:w="0" w:type="dxa"/>
              <w:left w:w="0" w:type="dxa"/>
              <w:bottom w:w="0" w:type="dxa"/>
              <w:right w:w="0" w:type="dxa"/>
            </w:tcMar>
          </w:tcPr>
          <w:p>
            <w:pPr>
              <w:spacing w:before="0" w:after="0"/>
            </w:pPr>
            <w:r>
              <w:rPr>
                <w:color w:val="1F2937"/>
                <w:sz w:val="21"/>
              </w:rPr>
              <w:t>Indisch, Studentenvisum mit gültiger Arbeitserlaubnis</w:t>
            </w:r>
          </w:p>
        </w:tc>
      </w:tr>
      <w:tr>
        <w:tc>
          <w:tcPr>
            <w:tcW w:type="dxa" w:w="1814"/>
            <w:tcMar>
              <w:top w:w="0" w:type="dxa"/>
              <w:left w:w="0" w:type="dxa"/>
              <w:bottom w:w="0" w:type="dxa"/>
              <w:right w:w="0" w:type="dxa"/>
            </w:tcMar>
          </w:tcPr>
          <w:p>
            <w:pPr>
              <w:spacing w:before="0" w:after="0"/>
            </w:pPr>
            <w:r>
              <w:rPr>
                <w:b/>
                <w:color w:val="1F3A5F"/>
                <w:sz w:val="21"/>
              </w:rPr>
              <w:t>Verfügbarkeit</w:t>
            </w:r>
          </w:p>
        </w:tc>
        <w:tc>
          <w:tcPr>
            <w:tcW w:type="dxa" w:w="7937"/>
            <w:tcMar>
              <w:top w:w="0" w:type="dxa"/>
              <w:left w:w="0" w:type="dxa"/>
              <w:bottom w:w="0" w:type="dxa"/>
              <w:right w:w="0" w:type="dxa"/>
            </w:tcMar>
          </w:tcPr>
          <w:p>
            <w:pPr>
              <w:spacing w:before="0" w:after="0"/>
            </w:pPr>
            <w:r>
              <w:rPr>
                <w:color w:val="1F2937"/>
                <w:sz w:val="21"/>
              </w:rPr>
              <w:t>Werkstudent 20 Stunden pro Woche sofort, Vollzeit ab April 2027</w:t>
            </w:r>
          </w:p>
        </w:tc>
      </w:tr>
    </w:tbl>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im Aufbau end to end Datenpipelines, Machine Learning auf Prozessdaten und BI Reporting. Ich habe eine vollstaendig automatisierte Bronze Silver Gold Medallion Pipeline in BigQuery mit einem leakage freien BigQuery ML Klassifikator und fuenfseitigem Looker Studio Dashboard umgesetzt, eine Echtzeit Cloud Pipeline mit PySpark, dbt und Apache Airflow ueber mehr als 128 tausend Datensaetze betrieben und ein interaktives Tableau Dashboard mit dynamischen Set Actions und parametergesteuerten Analytiken ausgeliefert. Sicher in Python, SQL und mit analytischem und konzeptionellem Blick fuer betriebliche Prozessdaten, bin ich die richtige Verstaerkung fuer die Masterarbeit im Process Mining bei ROSEN in Lingen.</w:t>
      </w:r>
    </w:p>
    <w:p>
      <w:pPr>
        <w:keepNext/>
        <w:spacing w:before="20" w:after="0"/>
        <w:pBdr>
          <w:bottom w:val="single" w:sz="6" w:space="1" w:color="B7C0CE"/>
        </w:pBdr>
      </w:pPr>
      <w:r>
        <w:rPr>
          <w:b/>
          <w:color w:val="1F3A5F"/>
          <w:sz w:val="21"/>
        </w:rPr>
        <w:t>B E R U F S E R F A H R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Okt 2025 bis Mrz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Im Rahmen einer sechsmonatigen Zusammenarbeit zwischen eRay GmbH und SRH Hochschule Heidelberg zur Prognose der Wasserqualität eines deutschen Sees, mit dem Auftrag vier Indikatoren über rollende Horizonte zu prognostizieren, wurde eine end to end rekursive Zeitreihen Pipeline für Chlorophyll a, Trübung, pH Wert und gelösten Sauerstoff aufgebaut, als produktionsreifes Modul geliefert, das der Kunde bei jeder neuen Sensordatenlieferung erneut ausführen kann.</w:t>
            </w:r>
          </w:p>
          <w:p>
            <w:pPr>
              <w:spacing w:before="0" w:after="0" w:line="264" w:lineRule="auto"/>
              <w:ind w:left="170"/>
              <w:jc w:val="both"/>
            </w:pPr>
            <w:r>
              <w:rPr>
                <w:b/>
                <w:color w:val="B8663F"/>
                <w:sz w:val="21"/>
              </w:rPr>
              <w:t xml:space="preserve">• </w:t>
            </w:r>
            <w:r>
              <w:rPr>
                <w:b w:val="0"/>
                <w:color w:val="1F2937"/>
                <w:sz w:val="21"/>
              </w:rPr>
              <w:t>Angesichts unklarer Modellwahl für die Prognoseaufgabe und der Notwendigkeit, Unsicherheit gegenüber nichttechnischen Stakeholdern verständlich zu machen, wurden sechs Kandidaten direkt verglichen, Ridge, Gradient Boosting, LightGBM, XGBoost, CatBoost und Prophet, und die Entscheidung fiel auf CatBoost Multi Quantil Regression, die asymmetrische 80 Prozent Vorhersageintervalle lieferte und dem Kunden Entscheidungsunterstützung unter Unsicherheit ermöglichte.</w:t>
            </w:r>
          </w:p>
          <w:p>
            <w:pPr>
              <w:spacing w:before="0" w:after="0" w:line="264" w:lineRule="auto"/>
              <w:ind w:left="170"/>
              <w:jc w:val="both"/>
            </w:pPr>
            <w:r>
              <w:rPr>
                <w:b/>
                <w:color w:val="B8663F"/>
                <w:sz w:val="21"/>
              </w:rPr>
              <w:t xml:space="preserve">• </w:t>
            </w:r>
            <w:r>
              <w:rPr>
                <w:b w:val="0"/>
                <w:color w:val="1F2937"/>
                <w:sz w:val="21"/>
              </w:rPr>
              <w:t>Aus der Sorge, dass naive Zeitreihen Splits die Genauigkeit verzerren würden, mit dem Auftrag die Evaluation belastbar zu machen, wurden strenge Anti Leakage Regeln in der gesamten Pipeline erzwungen, was die ehrliche Erkenntnis offenlegte, dass pH Wert und gelöster Sauerstoff physikalisch vorhersagbar sind, während Chlorophyll a und Trübung ohne optische Live Sensorik nicht seriös prognostizierbar sind.</w:t>
            </w:r>
          </w:p>
          <w:p>
            <w:pPr>
              <w:spacing w:before="0" w:after="0" w:line="264" w:lineRule="auto"/>
              <w:ind w:left="170"/>
              <w:jc w:val="both"/>
            </w:pPr>
            <w:r>
              <w:rPr>
                <w:b/>
                <w:color w:val="B8663F"/>
                <w:sz w:val="21"/>
              </w:rPr>
              <w:t xml:space="preserve">• </w:t>
            </w:r>
            <w:r>
              <w:rPr>
                <w:b w:val="0"/>
                <w:color w:val="1F2937"/>
                <w:sz w:val="21"/>
              </w:rPr>
              <w:t>Bei fehlenden Winter Messwerten und baumbasierten Modellen, die während der rekursiven Vorhersage flach wurden, mit dem Ziel realistische saisonale Muster in den nachgelagerten Prognosen zu erhalten, wurden fehlende Werte mit MICE Imputation rekonstruiert und ein synthetischer Winter Decay Prognose Rahmen entwickelt, was glaubwürdiges Winterverhalten wiederherstellte, ohne Verzerrung in das Trainingsfenster einzubringen.</w:t>
            </w:r>
          </w:p>
          <w:p>
            <w:pPr>
              <w:spacing w:before="0" w:after="0" w:line="264" w:lineRule="auto"/>
              <w:ind w:left="170"/>
              <w:jc w:val="both"/>
            </w:pPr>
            <w:r>
              <w:rPr>
                <w:b/>
                <w:color w:val="B8663F"/>
                <w:sz w:val="21"/>
              </w:rPr>
              <w:t xml:space="preserve">• </w:t>
            </w:r>
            <w:r>
              <w:rPr>
                <w:b w:val="0"/>
                <w:color w:val="1F2937"/>
                <w:sz w:val="21"/>
              </w:rPr>
              <w:t>Um zu verhindern, dass fehlerhafte Daten sich rekursiv durch den Forecaster fortpflanzen, mit dem Auftrag die Ausführungsschleife zu härten, wurde die Pipeline mit einem Orchestrator mit Gate Checks sowie Geschwindigkeits und ökologischen Grenzen umschlossen, sodass eine fehlgeschlagene Imputation nun den Lauf stoppt, statt Wochen nachgelagerter Vorhersagen zu beschädigen.</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Aug 2023 bis Aug 2024</w:t>
            </w:r>
          </w:p>
          <w:p>
            <w:pPr>
              <w:spacing w:before="0" w:after="0"/>
            </w:pPr>
            <w:r>
              <w:rPr>
                <w:color w:val="6C7A93"/>
                <w:sz w:val="19"/>
              </w:rPr>
              <w:t>India</w:t>
            </w:r>
          </w:p>
        </w:tc>
        <w:tc>
          <w:tcPr>
            <w:tcW w:type="dxa" w:w="8220"/>
            <w:tcMar>
              <w:top w:w="0" w:type="dxa"/>
              <w:left w:w="0" w:type="dxa"/>
              <w:bottom w:w="0" w:type="dxa"/>
              <w:right w:w="0" w:type="dxa"/>
            </w:tcMar>
          </w:tcPr>
          <w:p>
            <w:pPr>
              <w:spacing w:before="0" w:after="0"/>
            </w:pPr>
            <w:r>
              <w:rPr>
                <w:b/>
                <w:color w:val="1F3A5F"/>
                <w:sz w:val="22"/>
              </w:rPr>
              <w:t>SS Engineers and Contractors</w:t>
            </w:r>
          </w:p>
          <w:p>
            <w:pPr>
              <w:spacing w:before="0" w:after="0"/>
            </w:pPr>
            <w:r>
              <w:rPr>
                <w:color w:val="6C7A93"/>
                <w:sz w:val="20"/>
              </w:rPr>
              <w:t>Junior Associate Software Developer</w:t>
            </w:r>
          </w:p>
          <w:p>
            <w:pPr>
              <w:spacing w:before="0" w:after="0" w:line="264" w:lineRule="auto"/>
              <w:ind w:left="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0" w:after="0" w:line="264" w:lineRule="auto"/>
              <w:ind w:left="170"/>
              <w:jc w:val="both"/>
            </w:pPr>
            <w:r>
              <w:rPr>
                <w:b/>
                <w:color w:val="B8663F"/>
                <w:sz w:val="21"/>
              </w:rPr>
              <w:t xml:space="preserve">• </w:t>
            </w:r>
            <w:r>
              <w:rPr>
                <w:b w:val="0"/>
                <w:color w:val="1F2937"/>
                <w:sz w:val="21"/>
              </w:rPr>
              <w:t>Bei einem Kunden, dessen Legacy AngularJS Anwendung in einem bestehenden Module Federation Setup neben neueren React Micro Frontends laufen sollte, mit dem Auftrag die Screens des Kunden zu portieren ohne das laufende Produkt zu brechen, wurden rund 8 Routen von AngularJS auf React innerhalb der Module Federation Shell portiert, ausgeliefert über 4 Monate in schrittweisen Releases und ohne Produktionsausfälle während des Rollouts eingespielt.</w:t>
            </w:r>
          </w:p>
          <w:p>
            <w:pPr>
              <w:spacing w:before="10" w:after="0"/>
            </w:pPr>
            <w:r>
              <w:rPr>
                <w:b/>
                <w:color w:val="B8663F"/>
                <w:sz w:val="19"/>
              </w:rPr>
              <w:t xml:space="preserve">Technologies: </w:t>
            </w:r>
            <w:r>
              <w:rPr>
                <w:i/>
                <w:color w:val="6C7A93"/>
                <w:sz w:val="19"/>
              </w:rPr>
              <w:t>React, module federation, Playwright, AngularJS, HTML5, CSS3</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Feb 2023 bis Aug 2023</w:t>
            </w:r>
          </w:p>
          <w:p>
            <w:pPr>
              <w:spacing w:before="0" w:after="0"/>
            </w:pPr>
            <w:r>
              <w:rPr>
                <w:color w:val="6C7A93"/>
                <w:sz w:val="19"/>
              </w:rPr>
              <w:t>India</w:t>
            </w:r>
          </w:p>
        </w:tc>
        <w:tc>
          <w:tcPr>
            <w:tcW w:type="dxa" w:w="8220"/>
            <w:tcMar>
              <w:top w:w="0" w:type="dxa"/>
              <w:left w:w="0" w:type="dxa"/>
              <w:bottom w:w="0" w:type="dxa"/>
              <w:right w:w="0" w:type="dxa"/>
            </w:tcMar>
          </w:tcPr>
          <w:p>
            <w:pPr>
              <w:spacing w:before="0" w:after="0"/>
            </w:pPr>
            <w:r>
              <w:rPr>
                <w:b/>
                <w:color w:val="1F3A5F"/>
                <w:sz w:val="22"/>
              </w:rPr>
              <w:t>SS Engineers and Contractors</w:t>
            </w:r>
          </w:p>
          <w:p>
            <w:pPr>
              <w:spacing w:before="0" w:after="0"/>
            </w:pPr>
            <w:r>
              <w:rPr>
                <w:color w:val="6C7A93"/>
                <w:sz w:val="20"/>
              </w:rPr>
              <w:t>Front End Developer Intern</w:t>
            </w:r>
          </w:p>
          <w:p>
            <w:pPr>
              <w:spacing w:before="0" w:after="0" w:line="264" w:lineRule="auto"/>
              <w:ind w:left="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10" w:after="0"/>
            </w:pPr>
            <w:r>
              <w:rPr>
                <w:b/>
                <w:color w:val="B8663F"/>
                <w:sz w:val="19"/>
              </w:rPr>
              <w:t xml:space="preserve">Technologies: </w:t>
            </w:r>
            <w:r>
              <w:rPr>
                <w:i/>
                <w:color w:val="6C7A93"/>
                <w:sz w:val="19"/>
              </w:rPr>
              <w:t>React, HTML5, CSS3, Git, code review workflow</w:t>
            </w:r>
          </w:p>
        </w:tc>
      </w:tr>
    </w:tbl>
    <w:p>
      <w:pPr>
        <w:spacing w:before="0" w:after="0"/>
      </w:pPr>
      <w:r>
        <w:rPr>
          <w:sz w:val="2"/>
        </w:rPr>
      </w:r>
    </w:p>
    <w:p>
      <w:pPr>
        <w:keepNext/>
        <w:spacing w:before="20" w:after="0"/>
        <w:pBdr>
          <w:bottom w:val="single" w:sz="6" w:space="1" w:color="B7C0CE"/>
        </w:pBdr>
      </w:pPr>
      <w:r>
        <w:rPr>
          <w:b/>
          <w:color w:val="1F3A5F"/>
          <w:sz w:val="21"/>
        </w:rPr>
        <w:t>P E R S Ö N L I C H E   P R O J E K T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Movie Analytics und ML Pipeline auf GCP</w:t>
            </w:r>
          </w:p>
          <w:p>
            <w:pPr>
              <w:spacing w:before="0" w:after="0" w:line="264" w:lineRule="auto"/>
              <w:ind w:left="170"/>
              <w:jc w:val="both"/>
            </w:pPr>
            <w:r>
              <w:rPr>
                <w:b/>
                <w:color w:val="B8663F"/>
                <w:sz w:val="21"/>
              </w:rPr>
              <w:t xml:space="preserve">• </w:t>
            </w:r>
            <w:r>
              <w:rPr>
                <w:b w:val="0"/>
                <w:color w:val="1F2937"/>
                <w:sz w:val="21"/>
              </w:rPr>
              <w:t>Für ein persönliches Cloud Data Projekt zu Movie Analytics, das unbeaufsichtigt auf GCP laufen sollte, mit dem Auftrag die Ingestion und Verarbeitungsschicht zu bauen, wurde eine end to end Batch Pipeline aufgesetzt, die Filmdaten aus einer öffentlichen API in einen GCS Data Lake zieht und über eine Bronze Silver Gold Medallion Architektur in BigQuery auf Cloud Run verarbeitet, laufend über einen vollständig automatisierten Cloud Scheduler Trigger ohne manuellen Eingriff.</w:t>
            </w:r>
          </w:p>
          <w:p>
            <w:pPr>
              <w:spacing w:before="0" w:after="0" w:line="264" w:lineRule="auto"/>
              <w:ind w:left="170"/>
              <w:jc w:val="both"/>
            </w:pPr>
            <w:r>
              <w:rPr>
                <w:b/>
                <w:color w:val="B8663F"/>
                <w:sz w:val="21"/>
              </w:rPr>
              <w:t xml:space="preserve">• </w:t>
            </w:r>
            <w:r>
              <w:rPr>
                <w:b w:val="0"/>
                <w:color w:val="1F2937"/>
                <w:sz w:val="21"/>
              </w:rPr>
              <w:t>Da die roh eingelesenen Daten für direkte Analytik ungeeignet waren, mit dem Auftrag die Silver Schicht zu härten, wurden Schema Enforcement, sicheres Type Casting, Deduplikation per Window Functions und Genre Normalisierung in ein relationales Modell angewandt, was in allen nachgelagerten Gold Tabellen saubere referenzielle Integrität lieferte.</w:t>
            </w:r>
          </w:p>
          <w:p>
            <w:pPr>
              <w:spacing w:before="0" w:after="0" w:line="264" w:lineRule="auto"/>
              <w:ind w:left="170"/>
              <w:jc w:val="both"/>
            </w:pPr>
            <w:r>
              <w:rPr>
                <w:b/>
                <w:color w:val="B8663F"/>
                <w:sz w:val="21"/>
              </w:rPr>
              <w:t xml:space="preserve">• </w:t>
            </w:r>
            <w:r>
              <w:rPr>
                <w:b w:val="0"/>
                <w:color w:val="1F2937"/>
                <w:sz w:val="21"/>
              </w:rPr>
              <w:t>Da ein Klassifikator auf Post Release Signalen die Antwort geleakt hätte, mit dem Auftrag eine leakage freie Hit Vorhersage zu liefern, wurde ein BigQuery ML Klassifikator trainiert, der vor Kinostart vorhersagt ob ein Film ein Hit wird, indem Merkmale bewusst in zwei Tabellen aufgeteilt wurden so dass nur Pre Release Signale ins Modell fließen, und die Split Evaluation als leakage frei bestätigt wurde.</w:t>
            </w:r>
          </w:p>
          <w:p>
            <w:pPr>
              <w:spacing w:before="10" w:after="0"/>
            </w:pPr>
            <w:r>
              <w:rPr>
                <w:b/>
                <w:color w:val="B8663F"/>
                <w:sz w:val="19"/>
              </w:rPr>
              <w:t xml:space="preserve">Technologies: </w:t>
            </w:r>
            <w:r>
              <w:rPr>
                <w:i/>
                <w:color w:val="6C7A93"/>
                <w:sz w:val="19"/>
              </w:rPr>
              <w:t>GCP BigQuery, Cloud Run, GCS, Cloud Scheduler, BigQuery ML, Python, SQL, Looker Studio</w:t>
            </w:r>
          </w:p>
        </w:tc>
      </w:tr>
    </w:tbl>
    <w:p>
      <w:pPr>
        <w:spacing w:before="0" w:after="0"/>
      </w:pPr>
      <w:r>
        <w:rPr>
          <w:sz w:val="2"/>
        </w:rPr>
      </w:r>
    </w:p>
    <w:p>
      <w:pPr>
        <w:keepNext/>
        <w:spacing w:before="20" w:after="0"/>
        <w:pBdr>
          <w:bottom w:val="single" w:sz="6" w:space="1" w:color="B7C0CE"/>
        </w:pBdr>
      </w:pPr>
      <w:r>
        <w:rPr>
          <w:b/>
          <w:color w:val="1F3A5F"/>
          <w:sz w:val="21"/>
        </w:rPr>
        <w:t>A U S B I L D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bis heute</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F O R S C H U N G   U N D   A B S C H L U S S A R B E I T</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Bachelorarbeit: Diabetesvorhersage mit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innen und Patienten, mit dem Auftrag einen belastbaren Modellvergleich zu liefern, den die Prüfer nachprüfen können, wurde eine vollständige end to end Machine Learning Pipeline mit sechs Klassifikatoren, 10 facher Kreuzvalidierung und pro Modell erstellten Konfusionsmatrizen aufgebaut, was einen Modellvergleich ergab, der in der Verteidigung standhielt.</w:t>
            </w:r>
          </w:p>
          <w:p>
            <w:pPr>
              <w:spacing w:before="0" w:after="0" w:line="264" w:lineRule="auto"/>
              <w:ind w:left="170"/>
              <w:jc w:val="both"/>
            </w:pPr>
            <w:r>
              <w:rPr>
                <w:b/>
                <w:color w:val="B8663F"/>
                <w:sz w:val="21"/>
              </w:rPr>
              <w:t xml:space="preserve">• </w:t>
            </w:r>
            <w:r>
              <w:rPr>
                <w:b w:val="0"/>
                <w:color w:val="1F2937"/>
                <w:sz w:val="21"/>
              </w:rPr>
              <w:t>Nach dem Erkennen biologisch unmöglicher Nullwerte in den Quelldaten, die die Originalautoren übersehen hatten, mit dem Auftrag die Datenintegrität vor jedem Modelltraining wiederherzustellen, wurde eine IQR basierte Ausreißerbehandlung und saubere Imputation angewandt, was den Datensatz von still fehlerhaft zu einer sauberen Trainingsgrundlage für jedes nachgelagerte Modell brachte.</w:t>
            </w:r>
          </w:p>
          <w:p>
            <w:pPr>
              <w:spacing w:before="0" w:after="0" w:line="264" w:lineRule="auto"/>
              <w:ind w:left="170"/>
              <w:jc w:val="both"/>
            </w:pPr>
            <w:r>
              <w:rPr>
                <w:b/>
                <w:color w:val="B8663F"/>
                <w:sz w:val="21"/>
              </w:rPr>
              <w:t xml:space="preserve">• </w:t>
            </w:r>
            <w:r>
              <w:rPr>
                <w:b w:val="0"/>
                <w:color w:val="1F2937"/>
                <w:sz w:val="21"/>
              </w:rPr>
              <w:t>Bei einer 65 zu 35 Klassenungleichgewicht Verteilung, die Genauigkeit zu einer trügerisch schönen Leitmetrik gemacht hätte, mit dem Auftrag eine Bewertung zu wählen, die Fehler in der Minderheitsklasse nicht verdeckt, wurde die Leitmetrik von Genauigkeit auf ROC AUC umgestellt, was die realen Fehlermuster offenlegte, die die Genauigkeitszahl maskiert hatte und der Arbeit einen ehrlichen Leistungsvergleich gab.</w:t>
            </w:r>
          </w:p>
          <w:p>
            <w:pPr>
              <w:spacing w:before="0" w:after="0" w:line="264" w:lineRule="auto"/>
              <w:ind w:left="170"/>
              <w:jc w:val="both"/>
            </w:pPr>
            <w:r>
              <w:rPr>
                <w:b/>
                <w:color w:val="B8663F"/>
                <w:sz w:val="21"/>
              </w:rPr>
              <w:t xml:space="preserve">• </w:t>
            </w:r>
            <w:r>
              <w:rPr>
                <w:b w:val="0"/>
                <w:color w:val="1F2937"/>
                <w:sz w:val="21"/>
              </w:rPr>
              <w:t>Da die Ergebnisse in der Substanz veröffentlichungsreif und nicht nur abgabefähig sein sollten, mit dem Auftrag sie formal aufzuschreiben, wurde ein IEEE Paper mit einem ehrlichen Abschnitt zu Grenzen und Verbesserungsvorschlägen für eine Folgestudie verfasst, das der Betreuer als in der Substanz veröffentlichungsreif akzeptierte.</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SAS Certified Specialist: Visual Business Analytics Using SAS Viya, ausgestellt im Mai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Englisch</w:t>
            </w:r>
          </w:p>
        </w:tc>
        <w:tc>
          <w:tcPr>
            <w:tcW w:type="dxa" w:w="7937"/>
            <w:tcMar>
              <w:top w:w="0" w:type="dxa"/>
              <w:left w:w="0" w:type="dxa"/>
              <w:bottom w:w="0" w:type="dxa"/>
              <w:right w:w="0" w:type="dxa"/>
            </w:tcMar>
          </w:tcPr>
          <w:p>
            <w:pPr>
              <w:spacing w:before="0" w:after="0"/>
            </w:pPr>
            <w:r>
              <w:rPr>
                <w:color w:val="1F2937"/>
                <w:sz w:val="21"/>
              </w:rPr>
              <w:t>Fließend, schriftlich und mündlich</w:t>
            </w:r>
          </w:p>
        </w:tc>
      </w:tr>
      <w:tr>
        <w:tc>
          <w:tcPr>
            <w:tcW w:type="dxa" w:w="1814"/>
            <w:tcMar>
              <w:top w:w="0" w:type="dxa"/>
              <w:left w:w="0" w:type="dxa"/>
              <w:bottom w:w="0" w:type="dxa"/>
              <w:right w:w="0" w:type="dxa"/>
            </w:tcMar>
          </w:tcPr>
          <w:p>
            <w:pPr>
              <w:spacing w:before="0" w:after="0"/>
            </w:pPr>
            <w:r>
              <w:rPr>
                <w:b/>
                <w:color w:val="1F3A5F"/>
                <w:sz w:val="21"/>
              </w:rPr>
              <w:t>Deutsch</w:t>
            </w:r>
          </w:p>
        </w:tc>
        <w:tc>
          <w:tcPr>
            <w:tcW w:type="dxa" w:w="7937"/>
            <w:tcMar>
              <w:top w:w="0" w:type="dxa"/>
              <w:left w:w="0" w:type="dxa"/>
              <w:bottom w:w="0" w:type="dxa"/>
              <w:right w:w="0" w:type="dxa"/>
            </w:tcMar>
          </w:tcPr>
          <w:p>
            <w:pPr>
              <w:spacing w:before="0" w:after="0"/>
            </w:pPr>
            <w:r>
              <w:rPr>
                <w:color w:val="1F2937"/>
                <w:sz w:val="21"/>
              </w:rPr>
              <w:t>B1 laufend Richtung B2</w:t>
            </w:r>
          </w:p>
        </w:tc>
      </w:tr>
      <w:tr>
        <w:tc>
          <w:tcPr>
            <w:tcW w:type="dxa" w:w="1814"/>
            <w:tcMar>
              <w:top w:w="0" w:type="dxa"/>
              <w:left w:w="0" w:type="dxa"/>
              <w:bottom w:w="0" w:type="dxa"/>
              <w:right w:w="0" w:type="dxa"/>
            </w:tcMar>
          </w:tcPr>
          <w:p>
            <w:pPr>
              <w:spacing w:before="0" w:after="0"/>
            </w:pPr>
            <w:r>
              <w:rPr>
                <w:b/>
                <w:color w:val="1F3A5F"/>
                <w:sz w:val="21"/>
              </w:rPr>
              <w:t>Hindi</w:t>
            </w:r>
          </w:p>
        </w:tc>
        <w:tc>
          <w:tcPr>
            <w:tcW w:type="dxa" w:w="7937"/>
            <w:tcMar>
              <w:top w:w="0" w:type="dxa"/>
              <w:left w:w="0" w:type="dxa"/>
              <w:bottom w:w="0" w:type="dxa"/>
              <w:right w:w="0" w:type="dxa"/>
            </w:tcMar>
          </w:tcPr>
          <w:p>
            <w:pPr>
              <w:spacing w:before="0" w:after="0"/>
            </w:pPr>
            <w:r>
              <w:rPr>
                <w:color w:val="1F2937"/>
                <w:sz w:val="21"/>
              </w:rPr>
              <w:t>Muttersprache</w:t>
            </w:r>
          </w:p>
        </w:tc>
      </w:tr>
    </w:tbl>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