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Data and Analytics Werkstudent</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analytics, dashboarding, and cloud pipeline work on real business data. I have shipped a fully automated Bronze to Silver to Gold BigQuery medallion pipeline with a BigQuery ML classifier and a five page Looker Studio dashboard, an interactive Tableau dashboard with dynamic Set Actions and parameter driven analytics, and a Random Forest driven business intelligence study on the economic impact of global events. Comfortable in Python, SQL, dashboarding, and clear reporting, I am the right fit for a </w:t>
      </w:r>
      <w:r>
        <w:rPr>
          <w:b/>
          <w:color w:val="1F3A5F"/>
          <w:sz w:val="21"/>
        </w:rPr>
        <w:t>20 hour</w:t>
      </w:r>
      <w:r>
        <w:rPr>
          <w:b w:val="0"/>
          <w:color w:val="1F2937"/>
          <w:sz w:val="21"/>
        </w:rPr>
        <w:t xml:space="preserve"> Werkstudent Data and Analytics role at the RSG Group head office in Berlin.</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Nutritional Analyzer and Meal Simulator</w:t>
            </w:r>
          </w:p>
          <w:p>
            <w:pPr>
              <w:spacing w:before="0" w:after="0" w:line="264" w:lineRule="auto"/>
              <w:ind w:left="170"/>
              <w:jc w:val="both"/>
            </w:pPr>
            <w:r>
              <w:rPr>
                <w:b/>
                <w:color w:val="B8663F"/>
                <w:sz w:val="21"/>
              </w:rPr>
              <w:t xml:space="preserve">• </w:t>
            </w:r>
            <w:r>
              <w:rPr>
                <w:b w:val="0"/>
                <w:color w:val="1F2937"/>
                <w:sz w:val="21"/>
              </w:rPr>
              <w:t>Built a dynamic shopping cart inside Tableau, measured by the fact that end users can select scatter plot points and instantly total calories, fat, and protein for a simulated meal, using Tableau Set Actions as the interaction layer.</w:t>
            </w:r>
          </w:p>
          <w:p>
            <w:pPr>
              <w:spacing w:before="0" w:after="0" w:line="264" w:lineRule="auto"/>
              <w:ind w:left="170"/>
              <w:jc w:val="both"/>
            </w:pPr>
            <w:r>
              <w:rPr>
                <w:b/>
                <w:color w:val="B8663F"/>
                <w:sz w:val="21"/>
              </w:rPr>
              <w:t xml:space="preserve">• </w:t>
            </w:r>
            <w:r>
              <w:rPr>
                <w:b w:val="0"/>
                <w:color w:val="1F2937"/>
                <w:sz w:val="21"/>
              </w:rPr>
              <w:t>Implemented parameter driven analytics with a dynamic Y axis tied to a user controlled goal parameter for muscle gain versus weight loss, measured by consistent axis switching without dashboard reloads, using a CASE statement over the parameter.</w:t>
            </w:r>
          </w:p>
          <w:p>
            <w:pPr>
              <w:spacing w:before="0" w:after="0" w:line="264" w:lineRule="auto"/>
              <w:ind w:left="170"/>
              <w:jc w:val="both"/>
            </w:pPr>
            <w:r>
              <w:rPr>
                <w:b/>
                <w:color w:val="B8663F"/>
                <w:sz w:val="21"/>
              </w:rPr>
              <w:t xml:space="preserve">• </w:t>
            </w:r>
            <w:r>
              <w:rPr>
                <w:b w:val="0"/>
                <w:color w:val="1F2937"/>
                <w:sz w:val="21"/>
              </w:rPr>
              <w:t>Authored complex order of operation IF and THEN calculated fields for logical grouping and custom flags such as an Is It A Trap flag for deceptive high fat and high calorie items, measured by manual spot checks against the source nutrition data.</w:t>
            </w:r>
          </w:p>
          <w:p>
            <w:pPr>
              <w:spacing w:before="0" w:after="0" w:line="264" w:lineRule="auto"/>
              <w:ind w:left="170"/>
              <w:jc w:val="both"/>
            </w:pPr>
            <w:r>
              <w:rPr>
                <w:b/>
                <w:color w:val="B8663F"/>
                <w:sz w:val="21"/>
              </w:rPr>
              <w:t xml:space="preserve">• </w:t>
            </w:r>
            <w:r>
              <w:rPr>
                <w:b w:val="0"/>
                <w:color w:val="1F2937"/>
                <w:sz w:val="21"/>
              </w:rPr>
              <w:t>Designed a two tier layout combining an executive macro view and a granular food finder using a colour blind safe dark mode palette, measured against a target of reduced time to insight for a non technical stakeholder.</w:t>
            </w:r>
          </w:p>
          <w:p>
            <w:pPr>
              <w:spacing w:before="10" w:after="0"/>
            </w:pPr>
            <w:r>
              <w:rPr>
                <w:b/>
                <w:color w:val="B8663F"/>
                <w:sz w:val="19"/>
              </w:rPr>
              <w:t xml:space="preserve">Technologies: </w:t>
            </w:r>
            <w:r>
              <w:rPr>
                <w:i/>
                <w:color w:val="6C7A93"/>
                <w:sz w:val="19"/>
              </w:rPr>
              <w:t>Tableau with Set Actions, parameters and calculated fields, data storytelling and UI or UX</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Economic Impact Analysis of Global Climate Events</w:t>
            </w:r>
          </w:p>
          <w:p>
            <w:pPr>
              <w:spacing w:before="0" w:after="0" w:line="264" w:lineRule="auto"/>
              <w:ind w:left="170"/>
              <w:jc w:val="both"/>
            </w:pPr>
            <w:r>
              <w:rPr>
                <w:b/>
                <w:color w:val="B8663F"/>
                <w:sz w:val="21"/>
              </w:rPr>
              <w:t xml:space="preserve">• </w:t>
            </w:r>
            <w:r>
              <w:rPr>
                <w:b w:val="0"/>
                <w:color w:val="1F2937"/>
                <w:sz w:val="21"/>
              </w:rPr>
              <w:t>Executed an end to end data science project transforming raw global event datasets into structured insights for resource allocation and risk assessment, measured by a single reproducible pipeline from raw CSV to a stakeholder report.</w:t>
            </w:r>
          </w:p>
          <w:p>
            <w:pPr>
              <w:spacing w:before="0" w:after="0" w:line="264" w:lineRule="auto"/>
              <w:ind w:left="170"/>
              <w:jc w:val="both"/>
            </w:pPr>
            <w:r>
              <w:rPr>
                <w:b/>
                <w:color w:val="B8663F"/>
                <w:sz w:val="21"/>
              </w:rPr>
              <w:t xml:space="preserve">• </w:t>
            </w:r>
            <w:r>
              <w:rPr>
                <w:b w:val="0"/>
                <w:color w:val="1F2937"/>
                <w:sz w:val="21"/>
              </w:rPr>
              <w:t>Performed advanced data preparation and cleansing over outliers, imputation, and normalisation, measured by stable model performance before and after feature scaling, to build a high quality data foundation.</w:t>
            </w:r>
          </w:p>
          <w:p>
            <w:pPr>
              <w:spacing w:before="0" w:after="0" w:line="264" w:lineRule="auto"/>
              <w:ind w:left="170"/>
              <w:jc w:val="both"/>
            </w:pPr>
            <w:r>
              <w:rPr>
                <w:b/>
                <w:color w:val="B8663F"/>
                <w:sz w:val="21"/>
              </w:rPr>
              <w:t xml:space="preserve">• </w:t>
            </w:r>
            <w:r>
              <w:rPr>
                <w:b w:val="0"/>
                <w:color w:val="1F2937"/>
                <w:sz w:val="21"/>
              </w:rPr>
              <w:t>Developed Random Forest models to analyse correlations between event duration and financial impact, measured by feature importance rankings and residual analysis, extracting clear business relevant insights on where economic risk concentrates.</w:t>
            </w:r>
          </w:p>
          <w:p>
            <w:pPr>
              <w:spacing w:before="0" w:after="0" w:line="264" w:lineRule="auto"/>
              <w:ind w:left="170"/>
              <w:jc w:val="both"/>
            </w:pPr>
            <w:r>
              <w:rPr>
                <w:b/>
                <w:color w:val="B8663F"/>
                <w:sz w:val="21"/>
              </w:rPr>
              <w:t xml:space="preserve">• </w:t>
            </w:r>
            <w:r>
              <w:rPr>
                <w:b w:val="0"/>
                <w:color w:val="1F2937"/>
                <w:sz w:val="21"/>
              </w:rPr>
              <w:t>Communicated complex statistical findings to non technical stakeholders, measured by comprehensive visual reports and calibrated confidence statements that could survive a management review.</w:t>
            </w:r>
          </w:p>
          <w:p>
            <w:pPr>
              <w:spacing w:before="10" w:after="0"/>
            </w:pPr>
            <w:r>
              <w:rPr>
                <w:b/>
                <w:color w:val="B8663F"/>
                <w:sz w:val="19"/>
              </w:rPr>
              <w:t xml:space="preserve">Technologies: </w:t>
            </w:r>
            <w:r>
              <w:rPr>
                <w:i/>
                <w:color w:val="6C7A93"/>
                <w:sz w:val="19"/>
              </w:rPr>
              <w:t>Python with Pandas and scikit learn, Random Forest, statistical modelling, Matplotlib and Seaborn</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pPr>
      <w:r>
        <w:rPr>
          <w:color w:val="1F2937"/>
          <w:sz w:val="21"/>
        </w:rPr>
        <w:t>English: C1 fluent, written and spoken. German: B1 in progress toward B2. Hindi: Native.</w:t>
      </w:r>
    </w:p>
    <w:p>
      <w:pPr>
        <w:spacing w:before="20" w:after="0" w:line="240" w:lineRule="auto"/>
      </w:pPr>
      <w:r>
        <w:rPr>
          <w:color w:val="1F2937"/>
          <w:sz w:val="21"/>
        </w:rPr>
        <w:t>Mannheim, 19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