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Praktikant und Masterarbeit Deep Learning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Deep Learning naher Modellierung, Datenpipeline Arbeit und rigoroser Evaluation. Ich habe eine rekursive Zeitreihen Pipeline bei eRay GmbH mit sechs Modellen im Vergleich und CatBoost Multi Quantil Regression geliefert, ein Fairness by Design Klassifikationssystem nach EU AI Act mit AIF360 und SHAP umgesetzt sowie eine Echtzeit Pipeline auf Google Cloud betrieben, die über 128 tausend Datensätze verarbeitet. Sicher in Python, mit Erfahrung in PyTorch nahen Workflows und der Fähigkeit, Forschungsarbeiten im Deep Learning zu lesen, zu analysieren und umzusetzen, bin ich die richtige Verstärkung für das Team Deep Learning zur Bildverbesserung am Standort Bremen.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CreditIQ: Fairness by Design Credit Scoring</w:t>
            </w:r>
          </w:p>
          <w:p>
            <w:pPr>
              <w:spacing w:before="0" w:after="0" w:line="264" w:lineRule="auto"/>
              <w:ind w:left="170"/>
              <w:jc w:val="both"/>
            </w:pPr>
            <w:r>
              <w:rPr>
                <w:b/>
                <w:color w:val="B8663F"/>
                <w:sz w:val="21"/>
              </w:rPr>
              <w:t xml:space="preserve">• </w:t>
            </w:r>
            <w:r>
              <w:rPr>
                <w:b w:val="0"/>
                <w:color w:val="1F2937"/>
                <w:sz w:val="21"/>
              </w:rPr>
              <w:t>Hob den Disparate Impact Wert des Modells von einem durchgefallenen 0,79 auf einen konformen 0,88, messbar am 80 Prozent Fairness Grenzwert nach EU AI Act und AGG, umgesetzt mit AIF360 Mitigation und Schwellenwertkalibrierung auf einem realen Kreditdatensatz.</w:t>
            </w:r>
          </w:p>
          <w:p>
            <w:pPr>
              <w:spacing w:before="0" w:after="0" w:line="264" w:lineRule="auto"/>
              <w:ind w:left="170"/>
              <w:jc w:val="both"/>
            </w:pPr>
            <w:r>
              <w:rPr>
                <w:b/>
                <w:color w:val="B8663F"/>
                <w:sz w:val="21"/>
              </w:rPr>
              <w:t xml:space="preserve">• </w:t>
            </w:r>
            <w:r>
              <w:rPr>
                <w:b w:val="0"/>
                <w:color w:val="1F2937"/>
                <w:sz w:val="21"/>
              </w:rPr>
              <w:t>Deckte eine versteckte intersektionale Verzerrung auf, bei der jüngere Frauen selbst nach der Korrektur der einachsigen Altersverzerrung weiterhin benachteiligt waren, messbar über SHAP getriebene Subgruppenanalyse, und entwarf eine vierfeldrige Alter und Geschlecht Schwellenwertmatrix, um dies zu korrigieren ohne in umgekehrte Diskriminierung zu kippen.</w:t>
            </w:r>
          </w:p>
          <w:p>
            <w:pPr>
              <w:spacing w:before="0" w:after="0" w:line="264" w:lineRule="auto"/>
              <w:ind w:left="170"/>
              <w:jc w:val="both"/>
            </w:pPr>
            <w:r>
              <w:rPr>
                <w:b/>
                <w:color w:val="B8663F"/>
                <w:sz w:val="21"/>
              </w:rPr>
              <w:t xml:space="preserve">• </w:t>
            </w:r>
            <w:r>
              <w:rPr>
                <w:b w:val="0"/>
                <w:color w:val="1F2937"/>
                <w:sz w:val="21"/>
              </w:rPr>
              <w:t>Senkte die False Negative Rate von 44 Prozent auf 16,7 Prozent bei stabiler Genauigkeit von 75 Prozent, messbar am Held Out Test Split, indem der Fairness Accuracy Trade off als bewusste und regulatorisch belastbare Entscheidung dokumentiert wurde.</w:t>
            </w:r>
          </w:p>
          <w:p>
            <w:pPr>
              <w:spacing w:before="0" w:after="0" w:line="264" w:lineRule="auto"/>
              <w:ind w:left="170"/>
              <w:jc w:val="both"/>
            </w:pPr>
            <w:r>
              <w:rPr>
                <w:b/>
                <w:color w:val="B8663F"/>
                <w:sz w:val="21"/>
              </w:rPr>
              <w:t xml:space="preserve">• </w:t>
            </w:r>
            <w:r>
              <w:rPr>
                <w:b w:val="0"/>
                <w:color w:val="1F2937"/>
                <w:sz w:val="21"/>
              </w:rPr>
              <w:t>Lieferte ein Streamlit Entscheidungsunterstützungs Tool aus, das Finanzverantwortlichen eine Empfehlung plus eine in einfacher Sprache generierte LLM Erklärung gibt, messbar gegen die Human in the Loop Anforderungen aus GDPR Artikel 22 und EU AI Act Artikel 14, und stützte die Pipeline durch Unit Tests mit 100 Prozent Branch Coverage sowie eine vollständige regulatorische Dokumentation ab.</w:t>
            </w:r>
          </w:p>
          <w:p>
            <w:pPr>
              <w:spacing w:before="10" w:after="0"/>
            </w:pPr>
            <w:r>
              <w:rPr>
                <w:b/>
                <w:color w:val="B8663F"/>
                <w:sz w:val="19"/>
              </w:rPr>
              <w:t xml:space="preserve">Technologies: </w:t>
            </w:r>
            <w:r>
              <w:rPr>
                <w:i/>
                <w:color w:val="6C7A93"/>
                <w:sz w:val="19"/>
              </w:rPr>
              <w:t>Python, scikit learn, AIF360, SHAP, Streamlit</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Echtzeit Flugverfolgungs Pipeline</w:t>
            </w:r>
          </w:p>
          <w:p>
            <w:pPr>
              <w:spacing w:before="0" w:after="0" w:line="264" w:lineRule="auto"/>
              <w:ind w:left="170"/>
              <w:jc w:val="both"/>
            </w:pPr>
            <w:r>
              <w:rPr>
                <w:b/>
                <w:color w:val="B8663F"/>
                <w:sz w:val="21"/>
              </w:rPr>
              <w:t xml:space="preserve">• </w:t>
            </w:r>
            <w:r>
              <w:rPr>
                <w:b w:val="0"/>
                <w:color w:val="1F2937"/>
                <w:sz w:val="21"/>
              </w:rPr>
              <w:t>Sammelte alle 30 Sekunden Live Flugpositionen von der OpenSky Network API und reicherte sie über vier Quellen aus Flughafen, Flugzeug und Wetterdaten an, messbar an einer sauberen Join Tabelle mit über 128 tausend Datensätzen, umgesetzt mit Python Collectors und PySpark Cleaning auf Google Cloud.</w:t>
            </w:r>
          </w:p>
          <w:p>
            <w:pPr>
              <w:spacing w:before="0" w:after="0" w:line="264" w:lineRule="auto"/>
              <w:ind w:left="170"/>
              <w:jc w:val="both"/>
            </w:pPr>
            <w:r>
              <w:rPr>
                <w:b/>
                <w:color w:val="B8663F"/>
                <w:sz w:val="21"/>
              </w:rPr>
              <w:t xml:space="preserve">• </w:t>
            </w:r>
            <w:r>
              <w:rPr>
                <w:b w:val="0"/>
                <w:color w:val="1F2937"/>
                <w:sz w:val="21"/>
              </w:rPr>
              <w:t>Formte die Rohdaten mit dbt in analysebereite Tabellen und berechnete dabei den nächstgelegenen Flughafen jedes Flugzeugs, messbar an konsistenten Labels über den gesamten Zeitraum, gestützt auf PySpark für den Rechenaufwand und dbt für die Modellierungsschicht.</w:t>
            </w:r>
          </w:p>
          <w:p>
            <w:pPr>
              <w:spacing w:before="0" w:after="0" w:line="264" w:lineRule="auto"/>
              <w:ind w:left="170"/>
              <w:jc w:val="both"/>
            </w:pPr>
            <w:r>
              <w:rPr>
                <w:b/>
                <w:color w:val="B8663F"/>
                <w:sz w:val="21"/>
              </w:rPr>
              <w:t xml:space="preserve">• </w:t>
            </w:r>
            <w:r>
              <w:rPr>
                <w:b w:val="0"/>
                <w:color w:val="1F2937"/>
                <w:sz w:val="21"/>
              </w:rPr>
              <w:t xml:space="preserve">Orchestrierte das Gesamtsystem mit Apache Airflow, so dass sich Batch und Echtzeit Schichten automatisch alle </w:t>
            </w:r>
            <w:r>
              <w:rPr>
                <w:b/>
                <w:color w:val="1F3A5F"/>
                <w:sz w:val="21"/>
              </w:rPr>
              <w:t>15 Minute</w:t>
            </w:r>
            <w:r>
              <w:rPr>
                <w:b w:val="0"/>
                <w:color w:val="1F2937"/>
                <w:sz w:val="21"/>
              </w:rPr>
              <w:t>n aktualisieren, messbar an unbeaufsichtigten DAG Läufen auf GCS Speicher und Dataproc Compute.</w:t>
            </w:r>
          </w:p>
          <w:p>
            <w:pPr>
              <w:spacing w:before="0" w:after="0" w:line="264" w:lineRule="auto"/>
              <w:ind w:left="170"/>
              <w:jc w:val="both"/>
            </w:pPr>
            <w:r>
              <w:rPr>
                <w:b/>
                <w:color w:val="B8663F"/>
                <w:sz w:val="21"/>
              </w:rPr>
              <w:t xml:space="preserve">• </w:t>
            </w:r>
            <w:r>
              <w:rPr>
                <w:b w:val="0"/>
                <w:color w:val="1F2937"/>
                <w:sz w:val="21"/>
              </w:rPr>
              <w:t>Visualisierte Erkenntnisse in einem Tableau Workbook mit Python Statistik über TabPy, messbar an der Erkenntnis, dass der Luftverkehr bei starkem Regen um Faktor 4,4 einbricht und sich um Drehkreuze wie Frankfurt und München bündelt, gestützt auf dbt Aggregate als Feed.</w:t>
            </w:r>
          </w:p>
          <w:p>
            <w:pPr>
              <w:spacing w:before="10" w:after="0"/>
            </w:pPr>
            <w:r>
              <w:rPr>
                <w:b/>
                <w:color w:val="B8663F"/>
                <w:sz w:val="19"/>
              </w:rPr>
              <w:t xml:space="preserve">Technologies: </w:t>
            </w:r>
            <w:r>
              <w:rPr>
                <w:i/>
                <w:color w:val="6C7A93"/>
                <w:sz w:val="19"/>
              </w:rPr>
              <w:t>Python, PySpark, BigQuery, dbt, Apache Airflow, GCP Dataproc und GCS, Tableau mit TabPy</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Lieferte ein modulares Retrieval Augmented Generation System, das Nutzerintent in drei Ausführungspfade klassifiziert, lokale Wissensrecherche, externe Websuche oder direkte konversationelle Logik, messbar an sauberen end to end Antworten auf allen drei Pfaden, umgesetzt mit einem eigenen Decision Making Router über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w:t>
            </w:r>
          </w:p>
          <w:p>
            <w:pPr>
              <w:spacing w:before="0" w:after="0" w:line="264" w:lineRule="auto"/>
              <w:ind w:left="170"/>
              <w:jc w:val="both"/>
            </w:pPr>
            <w:r>
              <w:rPr>
                <w:b/>
                <w:color w:val="B8663F"/>
                <w:sz w:val="21"/>
              </w:rPr>
              <w:t xml:space="preserve">• </w:t>
            </w:r>
            <w:r>
              <w:rPr>
                <w:b w:val="0"/>
                <w:color w:val="1F2937"/>
                <w:sz w:val="21"/>
              </w:rPr>
              <w:t>Baute ein persistentes semantisches Gedächtnis über PDF und Vektordaten auf, messbar an konsistenter Wiederfindung über Session Grenzen hinweg, gestützt auf ChromaDB mit lokaler Persistenz und HuggingFace MiniLM L6 v2 Embeddings.</w:t>
            </w:r>
          </w:p>
          <w:p>
            <w:pPr>
              <w:spacing w:before="0" w:after="0" w:line="264" w:lineRule="auto"/>
              <w:ind w:left="170"/>
              <w:jc w:val="both"/>
            </w:pPr>
            <w:r>
              <w:rPr>
                <w:b/>
                <w:color w:val="B8663F"/>
                <w:sz w:val="21"/>
              </w:rPr>
              <w:t xml:space="preserve">• </w:t>
            </w:r>
            <w:r>
              <w:rPr>
                <w:b w:val="0"/>
                <w:color w:val="1F2937"/>
                <w:sz w:val="21"/>
              </w:rPr>
              <w:t>Erhielt Mehrturn Kontext für das LLM, messbar an kohärenten Nachfragen statt isolierten Einzelantworten, indem ein zustandsbehafteter MemoryAgent direkt in die Inference Pipeline eingebaut wurde.</w:t>
            </w:r>
          </w:p>
          <w:p>
            <w:pPr>
              <w:spacing w:before="0" w:after="0" w:line="264" w:lineRule="auto"/>
              <w:ind w:left="170"/>
              <w:jc w:val="both"/>
            </w:pPr>
            <w:r>
              <w:rPr>
                <w:b/>
                <w:color w:val="B8663F"/>
                <w:sz w:val="21"/>
              </w:rPr>
              <w:t xml:space="preserve">• </w:t>
            </w:r>
            <w:r>
              <w:rPr>
                <w:b w:val="0"/>
                <w:color w:val="1F2937"/>
                <w:sz w:val="21"/>
              </w:rPr>
              <w:t>Lieferte das Gesamtsystem als Streamlit Interface aus, mit end to end Verantwortung, messbar an einem lauffähigen deployten Prototyp, gestützt auf Groq Inference und eine erweiterbare Routing Schicht.</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