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Advanced Analytics und AI</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produktionsreifer Analytics und KI Systeme fuer regulierte Anwendungsfelder wie Kreditscoring. Ich habe ein Fairness by Design Credit Scoring System nach EU AI Act mit Streamlit Entscheidungsunterstuetzung geliefert, ein modulares Retrieval Augmented Generation System mit einem eigenen Decision Making Router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umgesetzt und eine automatisierte BigQuery Medallion Pipeline mit BigQuery ML Klassifikator und Looker Studio Reporting aufgebaut. Sicher in Python, SQL und modernen KI Frameworks, bin ich die richtige Verstaerkung fuer Advanced Analytics und AI in der Sparkassen Finanzgruppe.</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