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Juli 2026</w:t>
      </w:r>
    </w:p>
    <w:p>
      <w:r>
        <w:rPr>
          <w:b/>
          <w:color w:val="1F3A5F"/>
          <w:sz w:val="23"/>
        </w:rPr>
        <w:t>S-Kreditpartner GmbH</w:t>
      </w:r>
    </w:p>
    <w:p>
      <w:r>
        <w:rPr>
          <w:color w:val="1F2937"/>
          <w:sz w:val="21"/>
        </w:rPr>
        <w:t>Personalabteilung</w:t>
      </w:r>
    </w:p>
    <w:p>
      <w:r>
        <w:rPr>
          <w:b/>
          <w:color w:val="1F3A5F"/>
          <w:sz w:val="22"/>
        </w:rPr>
        <w:t>Bewerbung: Werkstudent Advanced Analytics und AI in Berlin</w:t>
      </w:r>
    </w:p>
    <w:p>
      <w:r>
        <w:rPr>
          <w:color w:val="1F2937"/>
          <w:sz w:val="21"/>
        </w:rPr>
        <w:t>Sehr geehrte Damen und Herren,</w:t>
      </w:r>
    </w:p>
    <w:p>
      <w:pPr>
        <w:spacing w:line="324" w:lineRule="auto"/>
        <w:jc w:val="both"/>
      </w:pPr>
      <w:r>
        <w:rPr>
          <w:color w:val="1F2937"/>
          <w:sz w:val="21"/>
        </w:rPr>
        <w:t>hiermit bewerbe ich mich als Werkstudent Advanced Analytics und AI bei der S-Kreditpartner GmbH in Berlin. Die Ausschreibung, die Mitwirkung an Python basierten Microservices, ueber die analytische Verfahren automatisiert, skalierbar und bankweit nutzbar werden, und die Konzeption von KI Agenten, die Analysen automatisieren, Daten interpretieren und Qualitaetspruefungen unterstuetzen, deckt sich sehr direkt mit den Systemen, die ich in den letzten Monaten in der Praxis gebaut habe.</w:t>
      </w:r>
    </w:p>
    <w:p>
      <w:pPr>
        <w:spacing w:line="324" w:lineRule="auto"/>
        <w:jc w:val="both"/>
      </w:pPr>
      <w:r>
        <w:rPr>
          <w:color w:val="1F2937"/>
          <w:sz w:val="21"/>
        </w:rPr>
        <w:t>In CreditIQ habe ich ein Kreditscoring System End to End nach EU AI Act und AGG aufgesetzt, den Disparate Impact Wert von 0,79 auf 0,88 gehoben, die False Negative Rate von 44 Prozent auf 16,7 Prozent gesenkt bei stabiler Genauigkeit von 75 Prozent und die Pipeline mit Unit Tests bei 100 Prozent Branch Coverage sowie einer vollstaendigen regulatorischen Dokumentation abgesichert. Das Streamlit Entscheidungsunterstuetzungs Tool liefert Finanzverantwortlichen eine Empfehlung plus eine in einfacher Sprache generierte LLM Erklaerung, konform zu GDPR Artikel 22 und EU AI Act Artikel 14.</w:t>
      </w:r>
    </w:p>
    <w:p>
      <w:pPr>
        <w:spacing w:line="324" w:lineRule="auto"/>
        <w:jc w:val="both"/>
      </w:pPr>
      <w:r>
        <w:rPr>
          <w:color w:val="1F2937"/>
          <w:sz w:val="21"/>
        </w:rPr>
        <w:t>Mein Hybrider RAG Orchestrator ist ein lauffaehiges KI Agenten System mit einem eigenen Decision Making Router, der Nutzerintent in drei Ausfuehrungspfade klassifiziert, ergaenzt um ChromaDB Vektorstore und HuggingFace MiniLM L6 v2 Embeddings. Zusammen mit meiner Movie Analytics und ML Pipeline auf GCP, einer vollstaendig automatisierten Bronze Silver Gold Medallion Architektur mit leakage freiem BigQuery ML Klassifikator und fuenfseitigem Looker Studio Dashboard, zeigt das die Skalierung analytischer Verfahren zu Microservice Denke.</w:t>
      </w:r>
    </w:p>
    <w:p>
      <w:pPr>
        <w:spacing w:line="324" w:lineRule="auto"/>
        <w:jc w:val="both"/>
      </w:pPr>
      <w:r>
        <w:rPr>
          <w:color w:val="1F2937"/>
          <w:sz w:val="21"/>
        </w:rPr>
        <w:t>Ich arbeite sicher in Python, SQL und modernen KI Frameworks, spreche Deutsch aktuell B1 in Bearbeitung und Englisch fliessend. Ich bringe die Zertifikate NVIDIA Building LLM Applications With Prompt Engineering, AWS Academy Cloud Foundations und SAS Certified Specialist Visual Business Analytics mit. Sehr gerne unterstuetze ich Ihr Team ab sofort 20 Stunden pro Woche.</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