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Master Thesis Student</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machine learning, generative AI, and cloud pipeline work built around LLMs, decision agents, and rigorous evaluation. I have shipped a modular Retrieval Augmented Generation system with a custom decision making agentic router on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 fairness by design classification system covering EU AI Act and GDPR, and a fully automated BigQuery medallion pipeline with a leakage free BigQuery ML classifier. Comfortable in Python, LangChain, embeddings, and structured evaluation, I am the right fit for a Master Thesis in Supply Chain Management Data Science on Agentic AI at SAP.</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Built an end to end recursive time series pipeline forecasting chlorophyll a, turbidity, pH, and dissolved oxygen for a German lake, delivered as a six month collaboration with SRH University Heidelberg.</w:t>
            </w:r>
          </w:p>
          <w:p>
            <w:pPr>
              <w:spacing w:before="0" w:after="0" w:line="264" w:lineRule="auto"/>
              <w:ind w:left="170"/>
              <w:jc w:val="both"/>
            </w:pPr>
            <w:r>
              <w:rPr>
                <w:b/>
                <w:color w:val="B8663F"/>
                <w:sz w:val="21"/>
              </w:rPr>
              <w:t xml:space="preserve">• </w:t>
            </w:r>
            <w:r>
              <w:rPr>
                <w:b w:val="0"/>
                <w:color w:val="1F2937"/>
                <w:sz w:val="21"/>
              </w:rPr>
              <w:t xml:space="preserve">Benchmarked six models head to head, Ridge, Gradient Boosting, LightGBM, XGBoost, CatBoost, and Prophet, and used CatBoost multi quantile regression to produce asymmetric </w:t>
            </w:r>
            <w:r>
              <w:rPr>
                <w:b/>
                <w:color w:val="1F3A5F"/>
                <w:sz w:val="21"/>
              </w:rPr>
              <w:t>80 percent</w:t>
            </w:r>
            <w:r>
              <w:rPr>
                <w:b w:val="0"/>
                <w:color w:val="1F2937"/>
                <w:sz w:val="21"/>
              </w:rPr>
              <w:t xml:space="preserve"> prediction intervals for decision support under uncertainty.</w:t>
            </w:r>
          </w:p>
          <w:p>
            <w:pPr>
              <w:spacing w:before="0" w:after="0" w:line="264" w:lineRule="auto"/>
              <w:ind w:left="170"/>
              <w:jc w:val="both"/>
            </w:pPr>
            <w:r>
              <w:rPr>
                <w:b/>
                <w:color w:val="B8663F"/>
                <w:sz w:val="21"/>
              </w:rPr>
              <w:t xml:space="preserve">• </w:t>
            </w:r>
            <w:r>
              <w:rPr>
                <w:b w:val="0"/>
                <w:color w:val="1F2937"/>
                <w:sz w:val="21"/>
              </w:rPr>
              <w:t>Enforced strict anti leakage rules across the pipeline, surfacing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Reconstructed missing winter readings with MICE imputation and engineered a synthetic winter decay forecast canvas so tree based models stopped flatlining during recursive prediction.</w:t>
            </w:r>
          </w:p>
          <w:p>
            <w:pPr>
              <w:spacing w:before="0" w:after="0" w:line="264" w:lineRule="auto"/>
              <w:ind w:left="170"/>
              <w:jc w:val="both"/>
            </w:pPr>
            <w:r>
              <w:rPr>
                <w:b/>
                <w:color w:val="B8663F"/>
                <w:sz w:val="21"/>
              </w:rPr>
              <w:t xml:space="preserve">• </w:t>
            </w:r>
            <w:r>
              <w:rPr>
                <w:b w:val="0"/>
                <w:color w:val="1F2937"/>
                <w:sz w:val="21"/>
              </w:rPr>
              <w:t>Wrapped the whole pipeline in an orchestrator with gate checks and velocity and ecological bounds that halts on failed imputation rather than letting bad data cascade downstream.</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 RAG Orchestrator with Agentic Routing</w:t>
            </w:r>
          </w:p>
          <w:p>
            <w:pPr>
              <w:spacing w:before="0" w:after="0" w:line="264" w:lineRule="auto"/>
              <w:ind w:left="170"/>
              <w:jc w:val="both"/>
            </w:pPr>
            <w:r>
              <w:rPr>
                <w:b/>
                <w:color w:val="B8663F"/>
                <w:sz w:val="21"/>
              </w:rPr>
              <w:t xml:space="preserve">• </w:t>
            </w:r>
            <w:r>
              <w:rPr>
                <w:b w:val="0"/>
                <w:color w:val="1F2937"/>
                <w:sz w:val="21"/>
              </w:rPr>
              <w:t xml:space="preserve">Delivered a modular Retrieval Augmented Generation system that classifies user intent into three execution paths, local knowledge retrieval, external web search, or direct conversational logic, measured by clean end to end responses across all three routes, using a custom decision making router on top of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orchestration.</w:t>
            </w:r>
          </w:p>
          <w:p>
            <w:pPr>
              <w:spacing w:before="0" w:after="0" w:line="264" w:lineRule="auto"/>
              <w:ind w:left="170"/>
              <w:jc w:val="both"/>
            </w:pPr>
            <w:r>
              <w:rPr>
                <w:b/>
                <w:color w:val="B8663F"/>
                <w:sz w:val="21"/>
              </w:rPr>
              <w:t xml:space="preserve">• </w:t>
            </w:r>
            <w:r>
              <w:rPr>
                <w:b w:val="0"/>
                <w:color w:val="1F2937"/>
                <w:sz w:val="21"/>
              </w:rPr>
              <w:t>Built a persistent semantic memory over PDF and vector data, measured by consistent retrieval on cross session queries, using ChromaDB with local persistence and HuggingFace MiniLM L6 v2 embeddings.</w:t>
            </w:r>
          </w:p>
          <w:p>
            <w:pPr>
              <w:spacing w:before="0" w:after="0" w:line="264" w:lineRule="auto"/>
              <w:ind w:left="170"/>
              <w:jc w:val="both"/>
            </w:pPr>
            <w:r>
              <w:rPr>
                <w:b/>
                <w:color w:val="B8663F"/>
                <w:sz w:val="21"/>
              </w:rPr>
              <w:t xml:space="preserve">• </w:t>
            </w:r>
            <w:r>
              <w:rPr>
                <w:b w:val="0"/>
                <w:color w:val="1F2937"/>
                <w:sz w:val="21"/>
              </w:rPr>
              <w:t>Kept multi turn context intact for the LLM, measured by coherent follow up answers rather than isolated single shot responses, by adding a stateful MemoryAgent directly into the inference pipeline.</w:t>
            </w:r>
          </w:p>
          <w:p>
            <w:pPr>
              <w:spacing w:before="0" w:after="0" w:line="264" w:lineRule="auto"/>
              <w:ind w:left="170"/>
              <w:jc w:val="both"/>
            </w:pPr>
            <w:r>
              <w:rPr>
                <w:b/>
                <w:color w:val="B8663F"/>
                <w:sz w:val="21"/>
              </w:rPr>
              <w:t xml:space="preserve">• </w:t>
            </w:r>
            <w:r>
              <w:rPr>
                <w:b w:val="0"/>
                <w:color w:val="1F2937"/>
                <w:sz w:val="21"/>
              </w:rPr>
              <w:t>Shipped the whole system as a Streamlit interface with end to end ownership, measured by a working deployed prototype, using Groq inference and a modular routing layer that can be extended per new intent.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and ML Pipeline on GCP</w:t>
            </w:r>
          </w:p>
          <w:p>
            <w:pPr>
              <w:spacing w:before="0" w:after="0" w:line="264" w:lineRule="auto"/>
              <w:ind w:left="170"/>
              <w:jc w:val="both"/>
            </w:pPr>
            <w:r>
              <w:rPr>
                <w:b/>
                <w:color w:val="B8663F"/>
                <w:sz w:val="21"/>
              </w:rPr>
              <w:t xml:space="preserve">• </w:t>
            </w:r>
            <w:r>
              <w:rPr>
                <w:b w:val="0"/>
                <w:color w:val="1F2937"/>
                <w:sz w:val="21"/>
              </w:rPr>
              <w:t>Built an end to end batch pipeline pulling movie data from a public API into a GCS data lake and processing it through Bronze to Silver to Gold medallion architecture in BigQuery, measured by a fully automated Cloud Scheduler trigger with no manual intervention required, using Cloud Run for compute.</w:t>
            </w:r>
          </w:p>
          <w:p>
            <w:pPr>
              <w:spacing w:before="0" w:after="0" w:line="264" w:lineRule="auto"/>
              <w:ind w:left="170"/>
              <w:jc w:val="both"/>
            </w:pPr>
            <w:r>
              <w:rPr>
                <w:b/>
                <w:color w:val="B8663F"/>
                <w:sz w:val="21"/>
              </w:rPr>
              <w:t xml:space="preserve">• </w:t>
            </w:r>
            <w:r>
              <w:rPr>
                <w:b w:val="0"/>
                <w:color w:val="1F2937"/>
                <w:sz w:val="21"/>
              </w:rPr>
              <w:t>Engineered the Silver layer for trustworthy analytics with schema enforcement, safe type casting, deduplication via window functions, and genre normalisation into a relational model, measured by clean referential integrity across all downstream Gold tables.</w:t>
            </w:r>
          </w:p>
          <w:p>
            <w:pPr>
              <w:spacing w:before="0" w:after="0" w:line="264" w:lineRule="auto"/>
              <w:ind w:left="170"/>
              <w:jc w:val="both"/>
            </w:pPr>
            <w:r>
              <w:rPr>
                <w:b/>
                <w:color w:val="B8663F"/>
                <w:sz w:val="21"/>
              </w:rPr>
              <w:t xml:space="preserve">• </w:t>
            </w:r>
            <w:r>
              <w:rPr>
                <w:b w:val="0"/>
                <w:color w:val="1F2937"/>
                <w:sz w:val="21"/>
              </w:rPr>
              <w:t>Trained a BigQuery ML classifier that predicts whether a film will be a hit before release, measured by leakage free evaluation, by deliberately splitting features into two tables so only pre release signals feed the model.</w:t>
            </w:r>
          </w:p>
          <w:p>
            <w:pPr>
              <w:spacing w:before="0" w:after="0" w:line="264" w:lineRule="auto"/>
              <w:ind w:left="170"/>
              <w:jc w:val="both"/>
            </w:pPr>
            <w:r>
              <w:rPr>
                <w:b/>
                <w:color w:val="B8663F"/>
                <w:sz w:val="21"/>
              </w:rPr>
              <w:t xml:space="preserve">• </w:t>
            </w:r>
            <w:r>
              <w:rPr>
                <w:b w:val="0"/>
                <w:color w:val="1F2937"/>
                <w:sz w:val="21"/>
              </w:rPr>
              <w:t>Built Gold layer aggregates and a five page Looker Studio dashboard answering concrete business questions on genre ROI, foreign language growth, and release season timing, measured against the ML early warning view, and secured the system with a least privilege service account and Secret Manager.</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Raised the model's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 xml:space="preserve">, measured against the EU AI Act and AGG </w:t>
            </w:r>
            <w:r>
              <w:rPr>
                <w:b/>
                <w:color w:val="1F3A5F"/>
                <w:sz w:val="21"/>
              </w:rPr>
              <w:t>80 percent</w:t>
            </w:r>
            <w:r>
              <w:rPr>
                <w:b w:val="0"/>
                <w:color w:val="1F2937"/>
                <w:sz w:val="21"/>
              </w:rPr>
              <w:t xml:space="preserve"> fairness threshold, using AIF360 mitigation and threshold calibration on a real credit dataset.</w:t>
            </w:r>
          </w:p>
          <w:p>
            <w:pPr>
              <w:spacing w:before="0" w:after="0" w:line="264" w:lineRule="auto"/>
              <w:ind w:left="170"/>
              <w:jc w:val="both"/>
            </w:pPr>
            <w:r>
              <w:rPr>
                <w:b/>
                <w:color w:val="B8663F"/>
                <w:sz w:val="21"/>
              </w:rPr>
              <w:t xml:space="preserve">• </w:t>
            </w:r>
            <w:r>
              <w:rPr>
                <w:b w:val="0"/>
                <w:color w:val="1F2937"/>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Cut the false negative rate from </w:t>
            </w:r>
            <w:r>
              <w:rPr>
                <w:b/>
                <w:color w:val="1F3A5F"/>
                <w:sz w:val="21"/>
              </w:rPr>
              <w:t>44 percent</w:t>
            </w:r>
            <w:r>
              <w:rPr>
                <w:b w:val="0"/>
                <w:color w:val="1F2937"/>
                <w:sz w:val="21"/>
              </w:rPr>
              <w:t xml:space="preserve"> to </w:t>
            </w:r>
            <w:r>
              <w:rPr>
                <w:b/>
                <w:color w:val="1F3A5F"/>
                <w:sz w:val="21"/>
              </w:rPr>
              <w:t>16.7 percent</w:t>
            </w:r>
            <w:r>
              <w:rPr>
                <w:b w:val="0"/>
                <w:color w:val="1F2937"/>
                <w:sz w:val="21"/>
              </w:rPr>
              <w:t xml:space="preserve"> while holding accuracy at </w:t>
            </w:r>
            <w:r>
              <w:rPr>
                <w:b/>
                <w:color w:val="1F3A5F"/>
                <w:sz w:val="21"/>
              </w:rPr>
              <w:t>75 percent</w:t>
            </w:r>
            <w:r>
              <w:rPr>
                <w:b w:val="0"/>
                <w:color w:val="1F2937"/>
                <w:sz w:val="21"/>
              </w:rPr>
              <w:t>, measured on the held out test split, by documenting the fairness accuracy trade off as a deliberate and regulator defensible decision rather than a hidden compromise.</w:t>
            </w:r>
          </w:p>
          <w:p>
            <w:pPr>
              <w:spacing w:before="0" w:after="0" w:line="264" w:lineRule="auto"/>
              <w:ind w:left="170"/>
              <w:jc w:val="both"/>
            </w:pPr>
            <w:r>
              <w:rPr>
                <w:b/>
                <w:color w:val="B8663F"/>
                <w:sz w:val="21"/>
              </w:rPr>
              <w:t xml:space="preserve">• </w:t>
            </w:r>
            <w:r>
              <w:rPr>
                <w:b w:val="0"/>
                <w:color w:val="1F2937"/>
                <w:sz w:val="21"/>
              </w:rPr>
              <w:t xml:space="preserve">Shipped a Streamlit decision support tool that gives finance managers a recommendation plus a plain language LLM generated explanation, measured against GDPR Article 22 and EU AI Act Article 14 human in the loop requirements, and backed the pipeline with unit tests at </w:t>
            </w:r>
            <w:r>
              <w:rPr>
                <w:b/>
                <w:color w:val="1F3A5F"/>
                <w:sz w:val="21"/>
              </w:rPr>
              <w:t>100 percent</w:t>
            </w:r>
            <w:r>
              <w:rPr>
                <w:b w:val="0"/>
                <w:color w:val="1F2937"/>
                <w:sz w:val="21"/>
              </w:rPr>
              <w:t xml:space="preserve"> branch coverage and a full regulatory write up.</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Built a full end to end machine learning pipeline comparing six classifiers on a clinical dataset of </w:t>
            </w:r>
            <w:r>
              <w:rPr>
                <w:b/>
                <w:color w:val="1F3A5F"/>
                <w:sz w:val="21"/>
              </w:rPr>
              <w:t>768 patients</w:t>
            </w:r>
            <w:r>
              <w:rPr>
                <w:b w:val="0"/>
                <w:color w:val="1F2937"/>
                <w:sz w:val="21"/>
              </w:rPr>
              <w:t xml:space="preserve">, using </w:t>
            </w:r>
            <w:r>
              <w:rPr>
                <w:b/>
                <w:color w:val="1F3A5F"/>
                <w:sz w:val="21"/>
              </w:rPr>
              <w:t>10 fold</w:t>
            </w:r>
            <w:r>
              <w:rPr>
                <w:b w:val="0"/>
                <w:color w:val="1F2937"/>
                <w:sz w:val="21"/>
              </w:rPr>
              <w:t xml:space="preserve"> cross validation and per model confusion matrices to make the model comparison auditable.</w:t>
            </w:r>
          </w:p>
          <w:p>
            <w:pPr>
              <w:spacing w:before="0" w:after="0" w:line="264" w:lineRule="auto"/>
              <w:ind w:left="170"/>
              <w:jc w:val="both"/>
            </w:pPr>
            <w:r>
              <w:rPr>
                <w:b/>
                <w:color w:val="B8663F"/>
                <w:sz w:val="21"/>
              </w:rPr>
              <w:t xml:space="preserve">• </w:t>
            </w:r>
            <w:r>
              <w:rPr>
                <w:b w:val="0"/>
                <w:color w:val="1F2937"/>
                <w:sz w:val="21"/>
              </w:rPr>
              <w:t>Caught biologically impossible zero values that the original authors had overlooked, then applied IQR based outlier removal and proper imputation to restore data integrity before any model fit.</w:t>
            </w:r>
          </w:p>
          <w:p>
            <w:pPr>
              <w:spacing w:before="0" w:after="0" w:line="264" w:lineRule="auto"/>
              <w:ind w:left="170"/>
              <w:jc w:val="both"/>
            </w:pPr>
            <w:r>
              <w:rPr>
                <w:b/>
                <w:color w:val="B8663F"/>
                <w:sz w:val="21"/>
              </w:rPr>
              <w:t xml:space="preserve">• </w:t>
            </w:r>
            <w:r>
              <w:rPr>
                <w:b w:val="0"/>
                <w:color w:val="1F2937"/>
                <w:sz w:val="21"/>
              </w:rPr>
              <w:t xml:space="preserve">Chose ROC AUC over accuracy as the headline metric for a </w:t>
            </w:r>
            <w:r>
              <w:rPr>
                <w:b/>
                <w:color w:val="1F3A5F"/>
                <w:sz w:val="21"/>
              </w:rPr>
              <w:t>65 to 35</w:t>
            </w:r>
            <w:r>
              <w:rPr>
                <w:b w:val="0"/>
                <w:color w:val="1F2937"/>
                <w:sz w:val="21"/>
              </w:rPr>
              <w:t xml:space="preserve"> imbalanced dataset, avoiding a misleadingly rosy accuracy figure that would have hidden real error patterns in the minority class.</w:t>
            </w:r>
          </w:p>
          <w:p>
            <w:pPr>
              <w:spacing w:before="0" w:after="0" w:line="264" w:lineRule="auto"/>
              <w:ind w:left="170"/>
              <w:jc w:val="both"/>
            </w:pPr>
            <w:r>
              <w:rPr>
                <w:b/>
                <w:color w:val="B8663F"/>
                <w:sz w:val="21"/>
              </w:rPr>
              <w:t xml:space="preserve">• </w:t>
            </w:r>
            <w:r>
              <w:rPr>
                <w:b w:val="0"/>
                <w:color w:val="1F2937"/>
                <w:sz w:val="21"/>
              </w:rPr>
              <w:t>Wrote up findings as an IEEE style paper including an honest section on limitations and what to do differently in a follow up study,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issued May 2025.</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pPr>
      <w:r>
        <w:rPr>
          <w:color w:val="1F2937"/>
          <w:sz w:val="21"/>
        </w:rPr>
        <w:t>English: C1 fluent, written and spoken. German: B1 in progress toward B2. Hindi: Native.</w:t>
      </w:r>
    </w:p>
    <w:p>
      <w:pPr>
        <w:spacing w:before="20" w:after="0" w:line="240" w:lineRule="auto"/>
      </w:pPr>
      <w:r>
        <w:rPr>
          <w:color w:val="1F2937"/>
          <w:sz w:val="21"/>
        </w:rPr>
        <w:t>Mannheim, 19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