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and Data Scientist in PhD Programs and Embedded Research</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delivery of agentic AI systems, classic machine learning, and applied research translation into working prototypes. I have shipped a Hybrid RAG Orchestrator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with a custom decision making router and LangChain orchestration, a fairness by design credit scoring system with SHAP driven interpretability, an LLM generated plain language explanation layer, and full regulatory documentation, and a recursive time series pipeline at eRay GmbH benchmarking six models head to head with strict anti leakage evaluation. Proficient in Python, pandas, scikit learn, and comfortable across the modern AI stack from classic machine learning to LLMs, I am the right fit for the Working Student role in PhD Programs and Embedded Research at SAP Walldorf.</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64" w:lineRule="auto"/>
              <w:ind w:left="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64" w:lineRule="auto"/>
              <w:ind w:left="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64" w:lineRule="auto"/>
              <w:ind w:left="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July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Multi-Agent RAG with LLM-as-Judge and Multilingual EN and DE Support</w:t>
            </w:r>
          </w:p>
          <w:p>
            <w:pPr>
              <w:spacing w:before="0" w:after="0" w:line="264" w:lineRule="auto"/>
              <w:ind w:left="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64" w:lineRule="auto"/>
              <w:ind w:left="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64" w:lineRule="auto"/>
              <w:ind w:left="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10" w:after="0"/>
            </w:pPr>
            <w:r>
              <w:rPr>
                <w:b/>
                <w:color w:val="B8663F"/>
                <w:sz w:val="19"/>
              </w:rPr>
              <w:t xml:space="preserve">Technologies: </w:t>
            </w:r>
            <w:r>
              <w:rPr>
                <w:i/>
                <w:color w:val="6C7A93"/>
                <w:sz w:val="19"/>
              </w:rPr>
              <w:t>Python, LangGraph multi agent, Ollama with Mistral 7B and Qwen2.5 14B, Pinecone, paraphrase multilingual MiniLM L12 v2, spaCy, BM25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