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12 August 2026</w:t>
      </w:r>
    </w:p>
    <w:p>
      <w:r>
        <w:rPr>
          <w:b/>
          <w:color w:val="1F3A5F"/>
          <w:sz w:val="23"/>
        </w:rPr>
        <w:t>SAP</w:t>
      </w:r>
    </w:p>
    <w:p>
      <w:r>
        <w:rPr>
          <w:color w:val="1F2937"/>
          <w:sz w:val="21"/>
        </w:rPr>
        <w:t>Hiring Team</w:t>
      </w:r>
    </w:p>
    <w:p>
      <w:r>
        <w:rPr>
          <w:b/>
          <w:color w:val="1F3A5F"/>
          <w:sz w:val="22"/>
        </w:rPr>
        <w:t>Application: Working Student, Engagement Lead for AI Vision Cases in Walldorf</w:t>
      </w:r>
    </w:p>
    <w:p>
      <w:r>
        <w:rPr>
          <w:color w:val="1F2937"/>
          <w:sz w:val="21"/>
        </w:rPr>
        <w:t>Dear Hiring Team,</w:t>
      </w:r>
    </w:p>
    <w:p>
      <w:pPr>
        <w:spacing w:line="324" w:lineRule="auto"/>
        <w:jc w:val="both"/>
      </w:pPr>
      <w:r>
        <w:rPr>
          <w:color w:val="1F2937"/>
          <w:sz w:val="21"/>
        </w:rPr>
        <w:t>I am writing to apply for the Working Student position as Engagement Lead to support and drive AI Vision Cases at SAP in Walldorf. As a Master's student in Data Science and Analytics at SRH Heidelberg based in Mannheim, the mix of driving AI use cases end to end, coordinating across engineering and business stakeholders, and getting hands on with modern LLM tooling maps very closely to what I have been doing in the last several months.</w:t>
      </w:r>
    </w:p>
    <w:p>
      <w:pPr>
        <w:spacing w:line="324" w:lineRule="auto"/>
        <w:jc w:val="both"/>
      </w:pPr>
      <w:r>
        <w:rPr>
          <w:color w:val="1F2937"/>
          <w:sz w:val="21"/>
        </w:rPr>
        <w:t>In my Multi Agent RAG project I extended an English only BM25 plus dense hybrid retrieval system over a 14 document policy corpus into a full multilingual EN and DE pipeline by migrating embeddings and retrieval to a paraphrase multilingual MiniLM L12 v2 shared vector space, so a German query retrieves English sources and is answered in German end to end. I implemented a JudgeAgent that scores answers on 5 dimensions using JSON mode at temperature 0, and eliminated self preference bias by running the judge Qwen2.5 14B on a different local model from the generator Mistral 7B, plus an EvalAgent computing 5 retrieval metrics and 4 generation metrics aggregated per language into JSON and Markdown reports. The same evaluation harness pattern would let a Vision Cases team keep an honest read on whether a use case is actually improving.</w:t>
      </w:r>
    </w:p>
    <w:p>
      <w:pPr>
        <w:spacing w:line="324" w:lineRule="auto"/>
        <w:jc w:val="both"/>
      </w:pPr>
      <w:r>
        <w:rPr>
          <w:color w:val="1F2937"/>
          <w:sz w:val="21"/>
        </w:rPr>
        <w:t>In CreditIQ I lifted the Disparate Impact ratio from a failing 0.79 to a compliant 0.88 under the EU AI Act and AGG 80 percent fairness bar, brought the false negative rate down from 44 percent to 16.7 percent while accuracy held at 75 percent, and shipped the model as a Streamlit decision support tool with a plain language LLM generated explanation, backed by unit tests at 100 percent branch coverage and a full regulatory write up. At eRay GmbH I delivered a recursive time series pipeline for four water quality indicators and chose CatBoost Multi Quantile regression with asymmetric 80 percent prediction intervals as the shipped model.</w:t>
      </w:r>
    </w:p>
    <w:p>
      <w:pPr>
        <w:spacing w:line="324" w:lineRule="auto"/>
        <w:jc w:val="both"/>
      </w:pPr>
      <w:r>
        <w:rPr>
          <w:color w:val="1F2937"/>
          <w:sz w:val="21"/>
        </w:rPr>
        <w:t>I work comfortably in Python, SQL, scikit-learn, PyTorch and LangGraph and have hands on experience with LLM integration. I hold the NVIDIA Building LLM Applications With Prompt Engineering, AWS Academy Cloud Foundations and Google Data Analytics certificates and was recognised as a Finalist of the USAII Global AI Hackathon 2026 at Graduate Level. I am fluent in English and B1 in progress in German. I can join in Walldorf or Munich in a hybrid setup and would welcome the chance to discuss how I could contribute to your AI Vision Cases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