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11. August 2026</w:t>
      </w:r>
    </w:p>
    <w:p>
      <w:r>
        <w:rPr>
          <w:b/>
          <w:color w:val="1F3A5F"/>
          <w:sz w:val="23"/>
        </w:rPr>
        <w:t>SCHOTT AG</w:t>
      </w:r>
    </w:p>
    <w:p>
      <w:r>
        <w:rPr>
          <w:color w:val="1F2937"/>
          <w:sz w:val="21"/>
        </w:rPr>
        <w:t>Personalabteilung</w:t>
      </w:r>
    </w:p>
    <w:p>
      <w:r>
        <w:rPr>
          <w:b/>
          <w:color w:val="1F3A5F"/>
          <w:sz w:val="22"/>
        </w:rPr>
        <w:t>Bewerbung: Werkstudent Data Science, Machine Learning und AI in Mainz</w:t>
      </w:r>
    </w:p>
    <w:p>
      <w:r>
        <w:rPr>
          <w:color w:val="1F2937"/>
          <w:sz w:val="21"/>
        </w:rPr>
        <w:t>Sehr geehrte Damen und Herren,</w:t>
      </w:r>
    </w:p>
    <w:p>
      <w:pPr>
        <w:spacing w:line="324" w:lineRule="auto"/>
        <w:jc w:val="both"/>
      </w:pPr>
      <w:r>
        <w:rPr>
          <w:color w:val="1F2937"/>
          <w:sz w:val="21"/>
        </w:rPr>
        <w:t>hiermit bewerbe ich mich fuer die Werkstudententaetigkeit Data Science, Machine Learning und AI am Standort Mainz. Als Masterstudent der Data Science and Analytics an der SRH Heidelberg mit Sitz in Mannheim interessiert mich SCHOTT als forschungsstarker Spezialglas Konzern besonders, weil dort datengetriebene Modelle direkt an realen Prozess und Materialdaten arbeiten. Die Ausschreibung passt sehr gut zu den ML und AI Themen, die ich in den letzten Monaten praktisch umgesetzt habe.</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Ridge, Gradient Boosting, LightGBM, XGBoost, CatBoost und Prophet direkt verglichen und mich fuer CatBoost Multi Quantil Regression entschieden, die asymmetrische 80 Prozent Vorhersageintervalle als Entscheidungsunterstuetzung lieferte. Strenge Anti Leakage Regeln und ein Orchestrator mit Gate Checks halten die Pipeline auditierbar, ein Muster, das sich sehr gut auf Produktions und Materialdaten uebertragen laesst.</w:t>
      </w:r>
    </w:p>
    <w:p>
      <w:pPr>
        <w:spacing w:line="324" w:lineRule="auto"/>
        <w:jc w:val="both"/>
      </w:pPr>
      <w:r>
        <w:rPr>
          <w:color w:val="1F2937"/>
          <w:sz w:val="21"/>
        </w:rPr>
        <w:t>In meinem Multi Agent RAG Projekt habe ich ein hybrides BM25 plus Dense Retrieval System zu einer mehrsprachigen EN und DE Pipeline erweitert und einen LLM as Judge JudgeAgent implementiert, der Antworten auf 5 Dimensionen bewertet, dabei laeuft der Judge bewusst auf einem anderen lokalen Modell als der Generator. In CreditIQ habe ich den Disparate Impact von 0,79 auf 0,88 gehoben und die False Negative Rate von 44 Prozent auf 16,7 Prozent gesenkt, bei einer Unit Test Branch Coverage von 100 Prozent.</w:t>
      </w:r>
    </w:p>
    <w:p>
      <w:pPr>
        <w:spacing w:line="324" w:lineRule="auto"/>
        <w:jc w:val="both"/>
      </w:pPr>
      <w:r>
        <w:rPr>
          <w:color w:val="1F2937"/>
          <w:sz w:val="21"/>
        </w:rPr>
        <w:t>Ich arbeite sicher in Python, scikit-learn, PyTorch und mit modernen LLM Diensten und dokumentiere Methoden und Ergebnisse fuer den fachuebergreifenden Wissenstransfer.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Als Werkstudent kann ich 20 Stunden pro Woche in Mainz einsteigen, der Standort ist gut aus Mannheim erreichbar. Gerne bespreche ich meinen Beitrag zu Ihrem Data Science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