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Praktikum Data Analytics und Machine Learning fuer Produktnutzungsdaten</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Praxis in Machine Learning auf realen Sensor und Prozessdaten. Ich habe eine rekursive Zeitreihen Pipeline bei eRay GmbH geliefert, die vier Umweltindikatoren prognostiziert und sechs Modelle direkt vergleicht, eine end to end Batch Pipeline mit BigQuery ML Klassifikator und Bronze Silver Gold Medallion Architektur gebaut und einen Hybrid RAG Orchestrator mit agentischem Routing entwickelt. Sicher in Python, scikit learn, Databricks nahen Tools und AI Agenten, mit klarem Blick fuer Mustererkennung, Klassifikation und statistische Auswertung auf Messdaten.</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Im Rahmen einer sechsmonatigen Zusammenarbeit zwischen eRay GmbH und SRH Hochschule Heidelberg zur Prognose der Wasserqualität eines deutschen Sees, mit dem Auftrag vier Indikatoren über rollende Horizonte zu prognostizieren, wurde eine end to end rekursive Zeitreihen Pipeline für Chlorophyll a, Trübung, pH Wert und gelösten Sauerstoff aufgebaut, als produktionsreifes Modul geliefert, das der Kunde bei jeder neuen Sensordatenlieferung erneut ausführen kann.</w:t>
            </w:r>
          </w:p>
          <w:p>
            <w:pPr>
              <w:spacing w:before="0" w:after="0" w:line="264" w:lineRule="auto"/>
              <w:ind w:left="170"/>
              <w:jc w:val="both"/>
            </w:pPr>
            <w:r>
              <w:rPr>
                <w:b/>
                <w:color w:val="B8663F"/>
                <w:sz w:val="21"/>
              </w:rPr>
              <w:t xml:space="preserve">• </w:t>
            </w:r>
            <w:r>
              <w:rPr>
                <w:b w:val="0"/>
                <w:color w:val="1F2937"/>
                <w:sz w:val="21"/>
              </w:rPr>
              <w:t>Angesichts unklarer Modellwahl für die Prognoseaufgabe und der Notwendigkeit, Unsicherheit gegenüber nichttechnischen Stakeholdern verständlich zu machen, wurden sechs Kandidaten direkt verglichen, Ridge, Gradient Boosting, LightGBM, XGBoost, CatBoost und Prophet, und die Entscheidung fiel auf CatBoost Multi Quantil Regression, die asymmetrische 80 Prozent Vorhersageintervalle lieferte und dem Kunden Entscheidungsunterstützung unter Unsicherheit ermöglichte.</w:t>
            </w:r>
          </w:p>
          <w:p>
            <w:pPr>
              <w:spacing w:before="0" w:after="0" w:line="264" w:lineRule="auto"/>
              <w:ind w:left="170"/>
              <w:jc w:val="both"/>
            </w:pPr>
            <w:r>
              <w:rPr>
                <w:b/>
                <w:color w:val="B8663F"/>
                <w:sz w:val="21"/>
              </w:rPr>
              <w:t xml:space="preserve">• </w:t>
            </w:r>
            <w:r>
              <w:rPr>
                <w:b w:val="0"/>
                <w:color w:val="1F2937"/>
                <w:sz w:val="21"/>
              </w:rPr>
              <w:t>Aus der Sorge, dass naive Zeitreihen Splits die Genauigkeit verzerren würden, mit dem Auftrag die Evaluation belastbar zu machen, wurden strenge Anti Leakage Regeln in der gesamten Pipeline erzwungen, was die ehrliche Erkenntnis offenlegte,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Bei fehlenden Winter Messwerten und baumbasierten Modellen, die während der rekursiven Vorhersage flach wurden, mit dem Ziel realistische saisonale Muster in den nachgelagerten Prognosen zu erhalten, wurden fehlende Werte mit MICE Imputation rekonstruiert und ein synthetischer Winter Decay Prognose Rahmen entwickelt, was glaubwürdiges Winterverhalten wiederherstellte, ohne Verzerrung in das Trainingsfenster einzubringen.</w:t>
            </w:r>
          </w:p>
          <w:p>
            <w:pPr>
              <w:spacing w:before="0" w:after="0" w:line="264" w:lineRule="auto"/>
              <w:ind w:left="170"/>
              <w:jc w:val="both"/>
            </w:pPr>
            <w:r>
              <w:rPr>
                <w:b/>
                <w:color w:val="B8663F"/>
                <w:sz w:val="21"/>
              </w:rPr>
              <w:t xml:space="preserve">• </w:t>
            </w:r>
            <w:r>
              <w:rPr>
                <w:b w:val="0"/>
                <w:color w:val="1F2937"/>
                <w:sz w:val="21"/>
              </w:rPr>
              <w:t>Um zu verhindern, dass fehlerhafte Daten sich rekursiv durch den Forecaster fortpflanzen, mit dem Auftrag die Ausführungsschleife zu härten, wurde die Pipeline mit einem Orchestrator mit Gate Checks sowie Geschwindigkeits und ökologischen Grenzen umschlossen, sodass eine fehlgeschlagene Imputation nun den Lauf stoppt, statt Wochen nachgelagerter Vorhersagen zu beschädigen.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Aug 2023 bis Aug 2024</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Junior Associate Software Developer</w:t>
            </w:r>
          </w:p>
          <w:p>
            <w:pPr>
              <w:spacing w:before="0" w:after="0" w:line="264" w:lineRule="auto"/>
              <w:ind w:left="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64" w:lineRule="auto"/>
              <w:ind w:left="170"/>
              <w:jc w:val="both"/>
            </w:pPr>
            <w:r>
              <w:rPr>
                <w:b/>
                <w:color w:val="B8663F"/>
                <w:sz w:val="21"/>
              </w:rPr>
              <w:t xml:space="preserve">• </w:t>
            </w:r>
            <w:r>
              <w:rPr>
                <w:b w:val="0"/>
                <w:color w:val="1F2937"/>
                <w:sz w:val="21"/>
              </w:rPr>
              <w:t>Bei einem Kunden, dessen Legacy AngularJS Anwendung in einem bestehenden Module Federation Setup neben neueren React Micro Frontends laufen sollte, mit dem Auftrag die Screens des Kunden zu portieren ohne das laufende Produkt zu brechen, wurden rund 8 Routen von AngularJS auf React innerhalb der Module Federation Shell portiert, ausgeliefert über 4 Monate in schrittweisen Releases und ohne Produktionsausfälle während des Rollouts eingespielt.</w:t>
            </w:r>
          </w:p>
          <w:p>
            <w:pPr>
              <w:spacing w:before="10" w:after="0"/>
            </w:pPr>
            <w:r>
              <w:rPr>
                <w:b/>
                <w:color w:val="B8663F"/>
                <w:sz w:val="19"/>
              </w:rPr>
              <w:t xml:space="preserve">Technologies: </w:t>
            </w:r>
            <w:r>
              <w:rPr>
                <w:i/>
                <w:color w:val="6C7A93"/>
                <w:sz w:val="19"/>
              </w:rPr>
              <w:t>React, module federation, Playwright, AngularJS, HTML5, CSS3</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Feb 2023 bis Aug 2023</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Front End Developer Intern</w:t>
            </w:r>
          </w:p>
          <w:p>
            <w:pPr>
              <w:spacing w:before="0" w:after="0" w:line="264" w:lineRule="auto"/>
              <w:ind w:left="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10" w:after="0"/>
            </w:pPr>
            <w:r>
              <w:rPr>
                <w:b/>
                <w:color w:val="B8663F"/>
                <w:sz w:val="19"/>
              </w:rPr>
              <w:t xml:space="preserve">Technologies: </w:t>
            </w:r>
            <w:r>
              <w:rPr>
                <w:i/>
                <w:color w:val="6C7A93"/>
                <w:sz w:val="19"/>
              </w:rPr>
              <w:t>React, HTML5, CSS3, Git, code review workflow</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Für ein persönliches Cloud Data Projekt zu Movie Analytics, das unbeaufsichtigt auf GCP laufen sollte, mit dem Auftrag die Ingestion und Verarbeitungsschicht zu bauen, wurde eine end to end Batch Pipeline aufgesetzt, die Filmdaten aus einer öffentlichen API in einen GCS Data Lake zieht und über eine Bronze Silver Gold Medallion Architektur in BigQuery auf Cloud Run verarbeitet, laufend über einen vollständig automatisierten Cloud Scheduler Trigger ohne manuellen Eingriff.</w:t>
            </w:r>
          </w:p>
          <w:p>
            <w:pPr>
              <w:spacing w:before="0" w:after="0" w:line="264" w:lineRule="auto"/>
              <w:ind w:left="170"/>
              <w:jc w:val="both"/>
            </w:pPr>
            <w:r>
              <w:rPr>
                <w:b/>
                <w:color w:val="B8663F"/>
                <w:sz w:val="21"/>
              </w:rPr>
              <w:t xml:space="preserve">• </w:t>
            </w:r>
            <w:r>
              <w:rPr>
                <w:b w:val="0"/>
                <w:color w:val="1F2937"/>
                <w:sz w:val="21"/>
              </w:rPr>
              <w:t>Da die roh eingelesenen Daten für direkte Analytik ungeeignet waren, mit dem Auftrag die Silver Schicht zu härten, wurden Schema Enforcement, sicheres Type Casting, Deduplikation per Window Functions und Genre Normalisierung in ein relationales Modell angewandt, was in allen nachgelagerten Gold Tabellen saubere referenzielle Integrität lieferte.</w:t>
            </w:r>
          </w:p>
          <w:p>
            <w:pPr>
              <w:spacing w:before="0" w:after="0" w:line="264" w:lineRule="auto"/>
              <w:ind w:left="170"/>
              <w:jc w:val="both"/>
            </w:pPr>
            <w:r>
              <w:rPr>
                <w:b/>
                <w:color w:val="B8663F"/>
                <w:sz w:val="21"/>
              </w:rPr>
              <w:t xml:space="preserve">• </w:t>
            </w:r>
            <w:r>
              <w:rPr>
                <w:b w:val="0"/>
                <w:color w:val="1F2937"/>
                <w:sz w:val="21"/>
              </w:rPr>
              <w:t>Da ein Klassifikator auf Post Release Signalen die Antwort geleakt hätte, mit dem Auftrag eine leakage freie Hit Vorhersage zu liefern, wurde ein BigQuery ML Klassifikator trainiert, der vor Kinostart vorhersagt ob ein Film ein Hit wird, indem Merkmale bewusst in zwei Tabellen aufgeteilt wurden so dass nur Pre Release Signale ins Modell fließen, und die Split Evaluation als leakage frei bestätigt wurde.</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innen und Patienten, mit dem Auftrag einen belastbaren Modellvergleich zu liefern, den die Prüfer nachprüfen können, wurde eine vollständige end to end Machine Learning Pipeline mit sechs Klassifikatoren, 10 facher Kreuzvalidierung und pro Modell erstellten Konfusionsmatrizen aufgebaut, was einen Modellvergleich ergab, der in der Verteidigung standhielt.</w:t>
            </w:r>
          </w:p>
          <w:p>
            <w:pPr>
              <w:spacing w:before="0" w:after="0" w:line="264" w:lineRule="auto"/>
              <w:ind w:left="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64" w:lineRule="auto"/>
              <w:ind w:left="170"/>
              <w:jc w:val="both"/>
            </w:pPr>
            <w:r>
              <w:rPr>
                <w:b/>
                <w:color w:val="B8663F"/>
                <w:sz w:val="21"/>
              </w:rPr>
              <w:t xml:space="preserve">• </w:t>
            </w:r>
            <w:r>
              <w:rPr>
                <w:b w:val="0"/>
                <w:color w:val="1F2937"/>
                <w:sz w:val="21"/>
              </w:rPr>
              <w:t>Bei einer 65 zu 35 Klassenungleichgewicht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64" w:lineRule="auto"/>
              <w:ind w:left="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