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Data Science and AI for X-Ray Technology</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Python machine learning, deep learning benchmarking on unstructured data, and honest evaluation of models on imbalanced healthcare datasets. I have shipped a fairness by design credit scoring system on real data with SHAP driven subgroup analysis, an end to end recursive time series pipeline at eRay GmbH benchmarking six models head to head with strict anti leakage rules, and a bachelor thesis comparing six classifiers on a clinical dataset with </w:t>
      </w:r>
      <w:r>
        <w:rPr>
          <w:b/>
          <w:color w:val="1F3A5F"/>
          <w:sz w:val="21"/>
        </w:rPr>
        <w:t>10 fold</w:t>
      </w:r>
      <w:r>
        <w:rPr>
          <w:b w:val="0"/>
          <w:color w:val="1F2937"/>
          <w:sz w:val="21"/>
        </w:rPr>
        <w:t xml:space="preserve"> cross validation, choosing ROC AUC over accuracy for a </w:t>
      </w:r>
      <w:r>
        <w:rPr>
          <w:b/>
          <w:color w:val="1F3A5F"/>
          <w:sz w:val="21"/>
        </w:rPr>
        <w:t>65 to 35</w:t>
      </w:r>
      <w:r>
        <w:rPr>
          <w:b w:val="0"/>
          <w:color w:val="1F2937"/>
          <w:sz w:val="21"/>
        </w:rPr>
        <w:t xml:space="preserve"> imbalanced target. Proficient in Python, scikit learn, and modern ML frameworks, I am the right fit for a Working Student position on Data Science and AI for X-Ray Technology at Siemens Healthineers in Forchheim.</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For a personal RAG project that needed to answer from local PDFs, live web, and small talk without a hardcoded path, tasked with building the router, delivered a modular Retrieval Augmented Generation system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 with a custom decision making router that classifies user intent into three execution paths, local knowledge retrieval, external web search, or direct conversational logic, and returns clean end to end responses on all three routes.</w:t>
            </w:r>
          </w:p>
          <w:p>
            <w:pPr>
              <w:spacing w:before="0" w:after="0" w:line="264" w:lineRule="auto"/>
              <w:ind w:left="170"/>
              <w:jc w:val="both"/>
            </w:pPr>
            <w:r>
              <w:rPr>
                <w:b/>
                <w:color w:val="B8663F"/>
                <w:sz w:val="21"/>
              </w:rPr>
              <w:t xml:space="preserve">• </w:t>
            </w:r>
            <w:r>
              <w:rPr>
                <w:b w:val="0"/>
                <w:color w:val="1F2937"/>
                <w:sz w:val="21"/>
              </w:rPr>
              <w:t>With document knowledge needing to persist across sessions rather than being reloaded each run, tasked with adding a durable semantic memory, built a ChromaDB store with local persistence and HuggingFace MiniLM L6 v2 embeddings over the PDF and vector data, which returned consistent retrieval on cross session queries.</w:t>
            </w:r>
          </w:p>
          <w:p>
            <w:pPr>
              <w:spacing w:before="0" w:after="0" w:line="264" w:lineRule="auto"/>
              <w:ind w:left="170"/>
              <w:jc w:val="both"/>
            </w:pPr>
            <w:r>
              <w:rPr>
                <w:b/>
                <w:color w:val="B8663F"/>
                <w:sz w:val="21"/>
              </w:rPr>
              <w:t xml:space="preserve">• </w:t>
            </w:r>
            <w:r>
              <w:rPr>
                <w:b w:val="0"/>
                <w:color w:val="1F2937"/>
                <w:sz w:val="21"/>
              </w:rPr>
              <w:t>Because single shot responses were breaking follow up questions in testing, tasked with keeping multi turn context intact for the LLM, added a stateful MemoryAgent directly into the inference pipeline, which produced coherent follow up answers rather than isolated single shot responses.</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