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Data Engineer und Analyst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w:t>
      </w:r>
    </w:p>
    <w:p>
      <w:pPr>
        <w:jc w:val="both"/>
        <w:pBdr>
          <w:bottom w:val="single" w:sz="6" w:space="1" w:color="E6E0D3"/>
        </w:pBdr>
      </w:pPr>
      <w:r>
        <w:rPr>
          <w:color w:val="2B2F3A"/>
          <w:sz w:val="21"/>
        </w:rPr>
        <w:t>Master Student der Data Science and Analytics an der SRH Heidelberg mit Sitz in Mannheim und praktischer Erfahrung im Aufbau produktionsreifer Datenpipelines. Ich habe eine PySpark und dbt gestützte Echtzeit Pipeline für über 128 tausend Flugpositionen auf Google Cloud betrieben, eine Bronze Silver Gold Medallion Architektur auf BigQuery mit BigQuery ML Klassifikator ausgeliefert und ein modulares Retrieval Augmented Generation System mit LangChain und Llama 3.1 8b via Groq umgesetzt. Sicher in Python und PySpark sowie mit einem Grundverständnis von Databricks nahen Plattformen und Large Language Models, bin ich die richtige Verstärkung für Data Engineering und Data Analysis auf der Palantir Foundry Plattform.</w:t>
      </w:r>
    </w:p>
    <w:p>
      <w:pPr>
        <w:spacing w:before="120" w:after="60"/>
        <w:pBdr>
          <w:bottom w:val="single" w:sz="6" w:space="1" w:color="E6E0D3"/>
        </w:pBdr>
      </w:pPr>
      <w:r>
        <w:rPr>
          <w:b/>
          <w:color w:val="1F5F6B"/>
          <w:sz w:val="25"/>
        </w:rPr>
        <w:t>BERUFSERFAHRUNG</w:t>
      </w:r>
    </w:p>
    <w:p>
      <w:r>
        <w:rPr>
          <w:b/>
          <w:color w:val="1F5F6B"/>
          <w:sz w:val="23"/>
        </w:rPr>
        <w:t>eRay GmbH</w:t>
      </w:r>
    </w:p>
    <w:p>
      <w:r>
        <w:rPr>
          <w:i/>
          <w:color w:val="7A6B58"/>
          <w:sz w:val="21"/>
        </w:rPr>
        <w:t>Data Scientist  ·  Okt 2025 bis Mrz 2026</w:t>
      </w:r>
    </w:p>
    <w:p>
      <w:pPr>
        <w:pStyle w:val="ListBullet"/>
        <w:spacing w:after="20"/>
        <w:ind w:left="283"/>
        <w:jc w:val="both"/>
      </w:pPr>
      <w:r>
        <w:rPr>
          <w:color w:val="2B2F3A"/>
          <w:sz w:val="21"/>
        </w:rPr>
        <w:t>Entwickelte eine end to end rekursive Zeitreihen Pipeline zur Prognose von Chlorophyll a, Trübung, pH Wert und gelöstem Sauerstoff für einen deutschen See, umgesetzt als sechsmonatige Zusammenarbeit mit der SRH Hochschule Heidelberg.</w:t>
      </w:r>
    </w:p>
    <w:p>
      <w:pPr>
        <w:pStyle w:val="ListBullet"/>
        <w:spacing w:after="20"/>
        <w:ind w:left="283"/>
        <w:jc w:val="both"/>
      </w:pPr>
      <w:r>
        <w:rPr>
          <w:color w:val="2B2F3A"/>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pStyle w:val="ListBullet"/>
        <w:spacing w:after="20"/>
        <w:ind w:left="283"/>
        <w:jc w:val="both"/>
      </w:pPr>
      <w:r>
        <w:rPr>
          <w:color w:val="2B2F3A"/>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pStyle w:val="ListBullet"/>
        <w:spacing w:after="20"/>
        <w:ind w:left="283"/>
        <w:jc w:val="both"/>
      </w:pPr>
      <w:r>
        <w:rPr>
          <w:color w:val="2B2F3A"/>
          <w:sz w:val="21"/>
        </w:rPr>
        <w:t>Rekonstruierte fehlende Winter Messwerte mit MICE Imputation und entwickelte einen synthetischen Winter Decay Prognose Rahmen, damit baumbasierte Modelle während der rekursiven Vorhersage nicht flach werden.</w:t>
      </w:r>
    </w:p>
    <w:p>
      <w:pPr>
        <w:pStyle w:val="ListBullet"/>
        <w:spacing w:after="20"/>
        <w:ind w:left="283"/>
        <w:jc w:val="both"/>
        <w:pBdr>
          <w:bottom w:val="single" w:sz="6" w:space="1" w:color="E6E0D3"/>
        </w:pBdr>
      </w:pPr>
      <w:r>
        <w:rPr>
          <w:color w:val="2B2F3A"/>
          <w:sz w:val="21"/>
        </w:rPr>
        <w:t>Umschloss die gesamte Pipeline mit einem Orchestrator, der Gate Checks sowie Geschwindigkeits und ökologische Grenzen prüft und bei fehlgeschlagener Imputation stoppt, statt schlechte Daten weiterfließen zu lassen.</w:t>
      </w:r>
    </w:p>
    <w:p>
      <w:pPr>
        <w:spacing w:before="120" w:after="60"/>
        <w:pBdr>
          <w:bottom w:val="single" w:sz="6" w:space="1" w:color="E6E0D3"/>
        </w:pBdr>
      </w:pPr>
      <w:r>
        <w:rPr>
          <w:b/>
          <w:color w:val="1F5F6B"/>
          <w:sz w:val="25"/>
        </w:rPr>
        <w:t>AUSBILDUNG</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PERSÖNLICHE PROJEKTE</w:t>
      </w:r>
    </w:p>
    <w:p>
      <w:r>
        <w:rPr>
          <w:b/>
          <w:color w:val="1F5F6B"/>
          <w:sz w:val="23"/>
        </w:rPr>
        <w:t>Echtzeit Flugverfolgungs Pipeline</w:t>
      </w:r>
    </w:p>
    <w:p>
      <w:r>
        <w:rPr>
          <w:i/>
          <w:color w:val="7A6B58"/>
          <w:sz w:val="21"/>
        </w:rPr>
        <w:t>Built with Python, PySpark, BigQuery, dbt, Apache Airflow, GCP Dataproc und GCS, Tableau mit TabPy</w:t>
      </w:r>
    </w:p>
    <w:p>
      <w:pPr>
        <w:pStyle w:val="ListBullet"/>
        <w:spacing w:after="20"/>
        <w:ind w:left="283"/>
        <w:jc w:val="both"/>
      </w:pPr>
      <w:r>
        <w:rPr>
          <w:color w:val="2B2F3A"/>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pStyle w:val="ListBullet"/>
        <w:spacing w:after="20"/>
        <w:ind w:left="283"/>
        <w:jc w:val="both"/>
      </w:pPr>
      <w:r>
        <w:rPr>
          <w:color w:val="2B2F3A"/>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pStyle w:val="ListBullet"/>
        <w:spacing w:after="20"/>
        <w:ind w:left="283"/>
        <w:jc w:val="both"/>
      </w:pPr>
      <w:r>
        <w:rPr>
          <w:color w:val="2B2F3A"/>
          <w:sz w:val="21"/>
        </w:rPr>
        <w:t>Orchestrierte das Gesamtsystem mit Apache Airflow, so dass sich Batch und Echtzeit Schichten automatisch alle 15 Minuten aktualisieren, messbar an unbeaufsichtigten DAG Läufen auf GCS Speicher und Dataproc Compute.</w:t>
      </w:r>
    </w:p>
    <w:p>
      <w:pPr>
        <w:pStyle w:val="ListBullet"/>
        <w:spacing w:after="20"/>
        <w:ind w:left="283"/>
        <w:jc w:val="both"/>
      </w:pPr>
      <w:r>
        <w:rPr>
          <w:color w:val="2B2F3A"/>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r>
        <w:rPr>
          <w:b/>
          <w:color w:val="1F5F6B"/>
          <w:sz w:val="23"/>
        </w:rPr>
        <w:t>Movie Analytics und ML Pipeline auf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pStyle w:val="ListBullet"/>
        <w:spacing w:after="20"/>
        <w:ind w:left="283"/>
        <w:jc w:val="both"/>
      </w:pPr>
      <w:r>
        <w:rPr>
          <w:color w:val="2B2F3A"/>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pStyle w:val="ListBullet"/>
        <w:spacing w:after="20"/>
        <w:ind w:left="283"/>
        <w:jc w:val="both"/>
      </w:pPr>
      <w:r>
        <w:rPr>
          <w:color w:val="2B2F3A"/>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pStyle w:val="ListBullet"/>
        <w:spacing w:after="20"/>
        <w:ind w:left="283"/>
        <w:jc w:val="both"/>
      </w:pPr>
      <w:r>
        <w:rPr>
          <w:color w:val="2B2F3A"/>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r>
        <w:rPr>
          <w:b/>
          <w:color w:val="1F5F6B"/>
          <w:sz w:val="23"/>
        </w:rPr>
        <w:t>Hybrider RAG Orchestrator mit agentischem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3.1 8b via Groq und LangChain.</w:t>
      </w:r>
    </w:p>
    <w:p>
      <w:pPr>
        <w:pStyle w:val="ListBullet"/>
        <w:spacing w:after="20"/>
        <w:ind w:left="283"/>
        <w:jc w:val="both"/>
      </w:pPr>
      <w:r>
        <w:rPr>
          <w:color w:val="2B2F3A"/>
          <w:sz w:val="21"/>
        </w:rPr>
        <w:t>Baute ein persistentes semantisches Gedächtnis über PDF und Vektordaten auf, messbar an konsistenter Wiederfindung über Session Grenzen hinweg, gestützt auf ChromaDB mit lokaler Persistenz und HuggingFace MiniLM L6 v2 Embeddings.</w:t>
      </w:r>
    </w:p>
    <w:p>
      <w:pPr>
        <w:pStyle w:val="ListBullet"/>
        <w:spacing w:after="20"/>
        <w:ind w:left="283"/>
        <w:jc w:val="both"/>
      </w:pPr>
      <w:r>
        <w:rPr>
          <w:color w:val="2B2F3A"/>
          <w:sz w:val="21"/>
        </w:rPr>
        <w:t>Erhielt Mehrturn Kontext für das LLM, messbar an kohärenten Nachfragen statt isolierten Einzelantworten, indem ein zustandsbehafteter MemoryAgent direkt in die Inference Pipeline eingebaut wurde.</w:t>
      </w:r>
    </w:p>
    <w:p>
      <w:pPr>
        <w:pStyle w:val="ListBullet"/>
        <w:spacing w:after="20"/>
        <w:ind w:left="283"/>
        <w:jc w:val="both"/>
        <w:pBdr>
          <w:bottom w:val="single" w:sz="6" w:space="1" w:color="E6E0D3"/>
        </w:pBdr>
      </w:pPr>
      <w:r>
        <w:rPr>
          <w:color w:val="2B2F3A"/>
          <w:sz w:val="21"/>
        </w:rPr>
        <w:t>Lieferte das Gesamtsystem als Streamlit Interface aus, mit end to end Verantwortung, messbar an einem lauffähigen deployten Prototyp, gestützt auf Groq Inference und eine erweiterbare Routing Schicht.</w:t>
      </w:r>
    </w:p>
    <w:p>
      <w:pPr>
        <w:spacing w:before="120" w:after="60"/>
        <w:pBdr>
          <w:bottom w:val="single" w:sz="6" w:space="1" w:color="E6E0D3"/>
        </w:pBdr>
      </w:pPr>
      <w:r>
        <w:rPr>
          <w:b/>
          <w:color w:val="1F5F6B"/>
          <w:sz w:val="25"/>
        </w:rPr>
        <w:t>FORSCHUNG UND ABSCHLUSSARBEIT</w:t>
      </w:r>
    </w:p>
    <w:p>
      <w:r>
        <w:rPr>
          <w:b/>
          <w:color w:val="1F5F6B"/>
          <w:sz w:val="23"/>
        </w:rPr>
        <w:t>Bachelorarbeit: Diabetesvorhersage mit Machine Learning</w:t>
      </w:r>
    </w:p>
    <w:p>
      <w:r>
        <w:rPr>
          <w:i/>
          <w:color w:val="7A6B58"/>
          <w:sz w:val="21"/>
        </w:rPr>
        <w:t>GL Bajaj Institute of Technology and Management, IEEE style paper</w:t>
      </w:r>
    </w:p>
    <w:p>
      <w:pPr>
        <w:pStyle w:val="ListBullet"/>
        <w:spacing w:after="20"/>
        <w:ind w:left="283"/>
        <w:jc w:val="both"/>
      </w:pPr>
      <w:r>
        <w:rPr>
          <w:color w:val="2B2F3A"/>
          <w:sz w:val="21"/>
        </w:rPr>
        <w:t>Entwickelte eine vollständige end to end Machine Learning Pipeline mit sechs Klassifikatoren auf einem klinischen Datensatz von 768 Patientinnen und Patienten, gestützt auf 10 fache Kreuzvalidierung und pro Modell erstellte Konfusionsmatrizen, damit der Modellvergleich prüfbar bleibt.</w:t>
      </w:r>
    </w:p>
    <w:p>
      <w:pPr>
        <w:pStyle w:val="ListBullet"/>
        <w:spacing w:after="20"/>
        <w:ind w:left="283"/>
        <w:jc w:val="both"/>
      </w:pPr>
      <w:r>
        <w:rPr>
          <w:color w:val="2B2F3A"/>
          <w:sz w:val="21"/>
        </w:rPr>
        <w:t>Erkannte biologisch unmögliche Nullwerte, die die Originalautoren übersehen hatten, und entfernte diese über IQR basierte Ausreißerbehandlung und saubere Imputation, um die Datenintegrität vor jedem Modelltraining wiederherzustellen.</w:t>
      </w:r>
    </w:p>
    <w:p>
      <w:pPr>
        <w:pStyle w:val="ListBullet"/>
        <w:spacing w:after="20"/>
        <w:ind w:left="283"/>
        <w:jc w:val="both"/>
      </w:pPr>
      <w:r>
        <w:rPr>
          <w:color w:val="2B2F3A"/>
          <w:sz w:val="21"/>
        </w:rPr>
        <w:t>Wählte ROC AUC statt Genauigkeit als Leitmetrik für einen unausgeglichenen Datensatz mit 65 zu 35 Verteilung, um eine trügerisch schöne Genauigkeit zu vermeiden, die reale Fehler in der Minderheitsklasse verdeckt hätte.</w:t>
      </w:r>
    </w:p>
    <w:p>
      <w:pPr>
        <w:pStyle w:val="ListBullet"/>
        <w:spacing w:after="20"/>
        <w:ind w:left="283"/>
        <w:jc w:val="both"/>
        <w:pBdr>
          <w:bottom w:val="single" w:sz="6" w:space="1" w:color="E6E0D3"/>
        </w:pBdr>
      </w:pPr>
      <w:r>
        <w:rPr>
          <w:color w:val="2B2F3A"/>
          <w:sz w:val="21"/>
        </w:rPr>
        <w:t>Verfasste die Ergebnisse als IEEE Paper mit einem ehrlichen Abschnitt zu Grenzen und Verbesserungsvorschlägen für eine Folgestudie, in Substanz veröffentlichungsreif.</w:t>
      </w:r>
    </w:p>
    <w:p>
      <w:pPr>
        <w:spacing w:before="120" w:after="60"/>
        <w:pBdr>
          <w:bottom w:val="single" w:sz="6" w:space="1" w:color="E6E0D3"/>
        </w:pBdr>
      </w:pPr>
      <w:r>
        <w:rPr>
          <w:b/>
          <w:color w:val="1F5F6B"/>
          <w:sz w:val="25"/>
        </w:rPr>
        <w:t>ZERTIFIKATE</w:t>
      </w:r>
    </w:p>
    <w:p>
      <w:pPr>
        <w:pStyle w:val="ListBullet"/>
        <w:spacing w:after="20"/>
        <w:ind w:left="283"/>
        <w:jc w:val="both"/>
      </w:pPr>
      <w:r>
        <w:rPr>
          <w:color w:val="2B2F3A"/>
          <w:sz w:val="21"/>
        </w:rPr>
        <w:t>AWS Academy Graduate: AWS Academy Cloud Foundations, ausgestellt im Juli 2025.</w:t>
      </w:r>
    </w:p>
    <w:p>
      <w:pPr>
        <w:pStyle w:val="ListBullet"/>
        <w:spacing w:after="20"/>
        <w:ind w:left="283"/>
        <w:jc w:val="both"/>
      </w:pPr>
      <w:r>
        <w:rPr>
          <w:color w:val="2B2F3A"/>
          <w:sz w:val="21"/>
        </w:rPr>
        <w:t>NVIDIA: Building LLM Applications With Prompt Engineering, ausgestellt im November 2025.</w:t>
      </w:r>
    </w:p>
    <w:p>
      <w:pPr>
        <w:pStyle w:val="ListBullet"/>
        <w:spacing w:after="20"/>
        <w:ind w:left="283"/>
        <w:jc w:val="both"/>
        <w:pBdr>
          <w:bottom w:val="single" w:sz="6" w:space="1" w:color="E6E0D3"/>
        </w:pBdr>
      </w:pPr>
      <w:r>
        <w:rPr>
          <w:color w:val="2B2F3A"/>
          <w:sz w:val="21"/>
        </w:rPr>
        <w:t>SAS Certified Specialist: Visual Business Analytics Using SAS Viya, ausgestellt im Mai 2025.</w:t>
      </w:r>
    </w:p>
    <w:p>
      <w:pPr>
        <w:spacing w:before="120" w:after="60"/>
        <w:pBdr>
          <w:bottom w:val="single" w:sz="6" w:space="1" w:color="E6E0D3"/>
        </w:pBdr>
      </w:pPr>
      <w:r>
        <w:rPr>
          <w:b/>
          <w:color w:val="1F5F6B"/>
          <w:sz w:val="25"/>
        </w:rPr>
        <w:t>AUSZEICHNUNGEN</w:t>
      </w:r>
    </w:p>
    <w:p>
      <w:pPr>
        <w:pStyle w:val="ListBullet"/>
        <w:spacing w:after="20"/>
        <w:ind w:left="283"/>
        <w:jc w:val="both"/>
        <w:pBdr>
          <w:bottom w:val="single" w:sz="6" w:space="1" w:color="E6E0D3"/>
        </w:pBdr>
      </w:pPr>
      <w:r>
        <w:rPr>
          <w:color w:val="2B2F3A"/>
          <w:sz w:val="21"/>
        </w:rPr>
        <w:t>USAII Global AI Hackathon 2026: Finalist auf Graduate Level, ausgezeichnet vom United States Artificial Intelligence Institute für Innovation, technische Kreativität und angewandte KI an realen Herausforderungen.</w:t>
      </w:r>
    </w:p>
    <w:p>
      <w:pPr>
        <w:spacing w:before="120" w:after="60"/>
        <w:pBdr>
          <w:bottom w:val="single" w:sz="6" w:space="1" w:color="E6E0D3"/>
        </w:pBdr>
      </w:pPr>
      <w:r>
        <w:rPr>
          <w:b/>
          <w:color w:val="1F5F6B"/>
          <w:sz w:val="25"/>
        </w:rPr>
        <w:t>SPRACHEN</w:t>
      </w:r>
    </w:p>
    <w:p>
      <w:r>
        <w:rPr>
          <w:color w:val="2B2F3A"/>
          <w:sz w:val="21"/>
        </w:rPr>
        <w:t>Englisch: fließend, professionell. Deutsch: B1, in Bearbeitung.</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