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Analytics</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SQL, Python, dashboarding, and end to end data analytics delivery on real operational data. I have shipped a fully automated BigQuery medallion pipeline feeding a five page Looker Studio dashboard for concrete business questions, an interactive two tier Tableau dashboard with dynamic Set Actions and parameter driven analytics on a colour blind safe palette, and a real time cloud pipeline processing more than </w:t>
      </w:r>
      <w:r>
        <w:rPr>
          <w:b/>
          <w:color w:val="1F3A5F"/>
          <w:sz w:val="21"/>
        </w:rPr>
        <w:t>128 thousand</w:t>
      </w:r>
      <w:r>
        <w:rPr>
          <w:b w:val="0"/>
          <w:color w:val="1F2937"/>
          <w:sz w:val="21"/>
        </w:rPr>
        <w:t xml:space="preserve"> records on Google Cloud with dbt and Apache Airflow. Proficient in SQL and Python with practical BI experience, I am the right fit for a dynamic, multicultural Data Analytics working student role at TK Elevator in Duesseldorf.</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For a personal cloud data project on movie analytics that needed to run unattended on GCP, tasked with the ingestion and processing layer, built an end to end batch pipeline that pulls movie data from a public API into a GCS data lake and processes it through Bronze to Silver to Gold medallion architecture in BigQuery on Cloud Run, running on a fully automated Cloud Scheduler trigger with no manual intervention required.</w:t>
            </w:r>
          </w:p>
          <w:p>
            <w:pPr>
              <w:spacing w:before="0" w:after="0" w:line="264" w:lineRule="auto"/>
              <w:ind w:left="170"/>
              <w:jc w:val="both"/>
            </w:pPr>
            <w:r>
              <w:rPr>
                <w:b/>
                <w:color w:val="B8663F"/>
                <w:sz w:val="21"/>
              </w:rPr>
              <w:t xml:space="preserve">• </w:t>
            </w:r>
            <w:r>
              <w:rPr>
                <w:b w:val="0"/>
                <w:color w:val="1F2937"/>
                <w:sz w:val="21"/>
              </w:rPr>
              <w:t>With raw ingested data being unfit for direct analytics, tasked with hardening the Silver layer, applied schema enforcement, safe type casting, deduplication via window functions, and genre normalisation into a relational model, which held clean referential integrity across every downstream Gold table.</w:t>
            </w:r>
          </w:p>
          <w:p>
            <w:pPr>
              <w:spacing w:before="0" w:after="0" w:line="264" w:lineRule="auto"/>
              <w:ind w:left="170"/>
              <w:jc w:val="both"/>
            </w:pPr>
            <w:r>
              <w:rPr>
                <w:b/>
                <w:color w:val="B8663F"/>
                <w:sz w:val="21"/>
              </w:rPr>
              <w:t xml:space="preserve">• </w:t>
            </w:r>
            <w:r>
              <w:rPr>
                <w:b w:val="0"/>
                <w:color w:val="1F2937"/>
                <w:sz w:val="21"/>
              </w:rPr>
              <w:t>Because a classifier trained on post release signals would leak the answer, tasked with a leakage free hit prediction, trained a BigQuery ML classifier that predicts whether a film will be a hit before release, deliberately splitting features into two tables so only pre release signals feed the model, and confirmed leakage free evaluation on the split.</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Nutritional Analyzer and Meal Simulator</w:t>
            </w:r>
          </w:p>
          <w:p>
            <w:pPr>
              <w:spacing w:before="0" w:after="0" w:line="264" w:lineRule="auto"/>
              <w:ind w:left="170"/>
              <w:jc w:val="both"/>
            </w:pPr>
            <w:r>
              <w:rPr>
                <w:b/>
                <w:color w:val="B8663F"/>
                <w:sz w:val="21"/>
              </w:rPr>
              <w:t xml:space="preserve">• </w:t>
            </w:r>
            <w:r>
              <w:rPr>
                <w:b w:val="0"/>
                <w:color w:val="1F2937"/>
                <w:sz w:val="21"/>
              </w:rPr>
              <w:t>For a Tableau dashboard project where users needed to explore fast food nutrition and simulate a meal rather than just filter charts, tasked with the interaction layer, built a dynamic shopping cart using Tableau Set Actions so end users can select scatter plot points and instantly total calories, fat, and protein for a simulated meal.</w:t>
            </w:r>
          </w:p>
          <w:p>
            <w:pPr>
              <w:spacing w:before="0" w:after="0" w:line="264" w:lineRule="auto"/>
              <w:ind w:left="170"/>
              <w:jc w:val="both"/>
            </w:pPr>
            <w:r>
              <w:rPr>
                <w:b/>
                <w:color w:val="B8663F"/>
                <w:sz w:val="21"/>
              </w:rPr>
              <w:t xml:space="preserve">• </w:t>
            </w:r>
            <w:r>
              <w:rPr>
                <w:b w:val="0"/>
                <w:color w:val="1F2937"/>
                <w:sz w:val="21"/>
              </w:rPr>
              <w:t>With one static Y axis being unable to serve both a muscle gain and a weight loss goal, tasked with letting the viewer switch objective without reloading, implemented parameter driven analytics with a dynamic Y axis tied to a user controlled goal parameter using a CASE statement, which produced consistent axis switching without dashboard reloads.</w:t>
            </w:r>
          </w:p>
          <w:p>
            <w:pPr>
              <w:spacing w:before="0" w:after="0" w:line="264" w:lineRule="auto"/>
              <w:ind w:left="170"/>
              <w:jc w:val="both"/>
            </w:pPr>
            <w:r>
              <w:rPr>
                <w:b/>
                <w:color w:val="B8663F"/>
                <w:sz w:val="21"/>
              </w:rPr>
              <w:t xml:space="preserve">• </w:t>
            </w:r>
            <w:r>
              <w:rPr>
                <w:b w:val="0"/>
                <w:color w:val="1F2937"/>
                <w:sz w:val="21"/>
              </w:rPr>
              <w:t>Because deceptive high fat and high calorie items were reading as safe on the raw data, tasked with surfacing them, authored complex order of operation IF and THEN calculated fields for logical grouping and custom flags such as an Is It A Trap flag, which flagged the trap items correctly on manual spot checks against the source nutrition data.</w:t>
            </w:r>
          </w:p>
          <w:p>
            <w:pPr>
              <w:spacing w:before="10" w:after="0"/>
            </w:pPr>
            <w:r>
              <w:rPr>
                <w:b/>
                <w:color w:val="B8663F"/>
                <w:sz w:val="19"/>
              </w:rPr>
              <w:t xml:space="preserve">Technologies: </w:t>
            </w:r>
            <w:r>
              <w:rPr>
                <w:i/>
                <w:color w:val="6C7A93"/>
                <w:sz w:val="19"/>
              </w:rPr>
              <w:t>Tableau with Set Actions, parameters and calculated fields, data storytelling and UI or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