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Master Thesis 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deep learning and generative AI work on real production data. I have shipped a Retrieval Augmented Generation system with agentic routing on Llama 3.1 8b via Groq, a fairness by design credit scoring system covering EU AI Act and GDPR, and a recursive time series forecasting pipeline at eRay GmbH built on CatBoost multi quantile regression with anti leakage guarantees. Comfortable in Python, PyTorch style workflows, and scientific evaluation, I am the right fit for a Master Thesis on generating anomalous traffic scenarios and evaluating generated data for autonomous driving.</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Pr>
      <w:r>
        <w:rPr>
          <w:color w:val="2B2F3A"/>
          <w:sz w:val="21"/>
        </w:rPr>
        <w:t>Shipped the whole system as a Streamlit interface with end to end ownership, measured by a working deployed prototype, using Groq inference and a modular routing layer that can be extended per new intent.</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Raised the model's Disparate Impact ratio from a failing 0.79 to a compliant 0.88, measured against the EU AI Act and AGG 80 percent fairness threshold, using AIF360 mitigation and threshold calibration on a real credit dataset.</w:t>
      </w:r>
    </w:p>
    <w:p>
      <w:pPr>
        <w:pStyle w:val="ListBullet"/>
        <w:spacing w:after="20"/>
        <w:ind w:left="283"/>
        <w:jc w:val="both"/>
      </w:pPr>
      <w:r>
        <w:rPr>
          <w:color w:val="2B2F3A"/>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pStyle w:val="ListBullet"/>
        <w:spacing w:after="20"/>
        <w:ind w:left="283"/>
        <w:jc w:val="both"/>
      </w:pPr>
      <w:r>
        <w:rPr>
          <w:color w:val="2B2F3A"/>
          <w:sz w:val="21"/>
        </w:rPr>
        <w:t>Cut the false negative rate from 44 percent to 16.7 percent while holding accuracy at 75 percent, measured on the held out test split, by documenting the fairness accuracy trade off as a deliberate and regulator defensible decision rather than a hidden compromise.</w:t>
      </w:r>
    </w:p>
    <w:p>
      <w:pPr>
        <w:pStyle w:val="ListBullet"/>
        <w:spacing w:after="20"/>
        <w:ind w:left="283"/>
        <w:jc w:val="both"/>
      </w:pPr>
      <w:r>
        <w:rPr>
          <w:color w:val="2B2F3A"/>
          <w:sz w:val="21"/>
        </w:rPr>
        <w:t>Shipped a Streamlit decision support tool that gives finance managers a recommendation plus a plain language LLM generated explanation, measured against GDPR Article 22 and EU AI Act Article 14 human in the loop requirements, and backed the pipeline with unit tests at 100 percent branch coverage and a full regulatory write up.</w:t>
      </w:r>
    </w:p>
    <w:p>
      <w:r>
        <w:rPr>
          <w:b/>
          <w:color w:val="1F5F6B"/>
          <w:sz w:val="23"/>
        </w:rPr>
        <w:t>Movie Analytics and ML Pipeline on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pStyle w:val="ListBullet"/>
        <w:spacing w:after="20"/>
        <w:ind w:left="283"/>
        <w:jc w:val="both"/>
      </w:pPr>
      <w:r>
        <w:rPr>
          <w:color w:val="2B2F3A"/>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pStyle w:val="ListBullet"/>
        <w:spacing w:after="20"/>
        <w:ind w:left="283"/>
        <w:jc w:val="both"/>
      </w:pPr>
      <w:r>
        <w:rPr>
          <w:color w:val="2B2F3A"/>
          <w:sz w:val="21"/>
        </w:rPr>
        <w:t>Trained a BigQuery ML classifier that predicts whether a film will be a hit before release, measured by leakage free evaluation, by deliberately splitting features into two tables so only pre release signals feed the model.</w:t>
      </w:r>
    </w:p>
    <w:p>
      <w:pPr>
        <w:pStyle w:val="ListBullet"/>
        <w:spacing w:after="20"/>
        <w:ind w:left="283"/>
        <w:jc w:val="both"/>
        <w:pBdr>
          <w:bottom w:val="single" w:sz="6" w:space="1" w:color="E6E0D3"/>
        </w:pBdr>
      </w:pPr>
      <w:r>
        <w:rPr>
          <w:color w:val="2B2F3A"/>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Pr>
      <w:r>
        <w:rPr>
          <w:color w:val="2B2F3A"/>
          <w:sz w:val="21"/>
        </w:rPr>
        <w:t>AWS Academy Graduate: AWS Academy Cloud Foundations, issued July 2025.</w:t>
      </w:r>
    </w:p>
    <w:p>
      <w:pPr>
        <w:pStyle w:val="ListBullet"/>
        <w:spacing w:after="20"/>
        <w:ind w:left="283"/>
        <w:jc w:val="both"/>
        <w:pBdr>
          <w:bottom w:val="single" w:sz="6" w:space="1" w:color="E6E0D3"/>
        </w:pBdr>
      </w:pPr>
      <w:r>
        <w:rPr>
          <w:color w:val="2B2F3A"/>
          <w:sz w:val="21"/>
        </w:rPr>
        <w:t>Google Data Analytics: Foundations, Data, Data, Everywhere, issued April 2025 on Coursera.</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