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Praktikum Künstliche Intelligenz und Machine Learning</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Aufbau von KI Modellen für Vorhersage, Klassifikation und Retrieval. Ich habe eine rekursive Zeitreihen Pipeline für vier Wasserqualitätsindikatoren bei eRay GmbH mit CatBoost Multi Quantil Regression und strengen Anti Leakage Regeln geliefert, ein Fairness by Design Klassifikationssystem nach EU AI Act mit AIF360, SHAP und scikit learn umgesetzt und eine vollständig automatisierte BigQuery Medallion Pipeline mit einem BigQuery ML Klassifikator gebaut. Sicher in Python und Git, mit Erfahrung in XGBoost, scikit learn und modernen Cloud KI Workflows, bin ich die richtige Verstärkung für die AI Applications Abteilung der Witt-Gruppe.</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Hob den Disparate Impact Wert des Modells von einem durchgefallenen 0,79 auf einen konformen 0,88, messbar am 80 Prozent Fairness Grenzwert nach EU AI Act und AGG, umgesetzt mit AIF360 Mitigation und Schwellenwertkalibrierung auf einem realen Kreditdatensatz.</w:t>
            </w:r>
          </w:p>
          <w:p>
            <w:pPr>
              <w:spacing w:before="0" w:after="0" w:line="264" w:lineRule="auto"/>
              <w:ind w:left="170"/>
              <w:jc w:val="both"/>
            </w:pPr>
            <w:r>
              <w:rPr>
                <w:b/>
                <w:color w:val="B8663F"/>
                <w:sz w:val="21"/>
              </w:rPr>
              <w:t xml:space="preserve">• </w:t>
            </w:r>
            <w:r>
              <w:rPr>
                <w:b w:val="0"/>
                <w:color w:val="1F2937"/>
                <w:sz w:val="21"/>
              </w:rPr>
              <w:t>Deckte eine versteckte intersektionale Verzerrung auf, bei der jüngere Frauen selbst nach der Korrektur der einachsigen Altersverzerrung weiterhin benachteiligt waren, messbar über SHAP getriebene Subgruppenanalyse, und entwarf eine vierfeldrige Alter und Geschlecht Schwellenwertmatrix, um dies zu korrigieren ohne in umgekehrte Diskriminierung zu kippen.</w:t>
            </w:r>
          </w:p>
          <w:p>
            <w:pPr>
              <w:spacing w:before="0" w:after="0" w:line="264" w:lineRule="auto"/>
              <w:ind w:left="170"/>
              <w:jc w:val="both"/>
            </w:pPr>
            <w:r>
              <w:rPr>
                <w:b/>
                <w:color w:val="B8663F"/>
                <w:sz w:val="21"/>
              </w:rPr>
              <w:t xml:space="preserve">• </w:t>
            </w:r>
            <w:r>
              <w:rPr>
                <w:b w:val="0"/>
                <w:color w:val="1F2937"/>
                <w:sz w:val="21"/>
              </w:rPr>
              <w:t>Senkte die False Negative Rate von 44 Prozent auf 16,7 Prozent bei stabiler Genauigkeit von 75 Prozent, messbar am Held Out Test Split, indem der Fairness Accuracy Trade off als bewusste und regulatorisch belastbare Entscheidung dokumentiert wurde.</w:t>
            </w:r>
          </w:p>
          <w:p>
            <w:pPr>
              <w:spacing w:before="0" w:after="0" w:line="264" w:lineRule="auto"/>
              <w:ind w:left="170"/>
              <w:jc w:val="both"/>
            </w:pPr>
            <w:r>
              <w:rPr>
                <w:b/>
                <w:color w:val="B8663F"/>
                <w:sz w:val="21"/>
              </w:rPr>
              <w:t xml:space="preserve">• </w:t>
            </w:r>
            <w:r>
              <w:rPr>
                <w:b w:val="0"/>
                <w:color w:val="1F2937"/>
                <w:sz w:val="21"/>
              </w:rPr>
              <w:t>Lieferte ein Streamlit Entscheidungsunterstützungs Tool aus, das Finanzverantwortlichen eine Empfehlung plus eine in einfacher Sprache generierte LLM Erklärung gibt, messbar gegen die Human in the Loop Anforderungen aus GDPR Artikel 22 und EU AI Act Artikel 14, und stützte die Pipeline durch Unit Tests mit 100 Prozent Branch Coverage sowie eine vollständige regulatorische Dokumentation ab.</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w:t>
            </w:r>
          </w:p>
          <w:p>
            <w:pPr>
              <w:spacing w:before="0" w:after="0" w:line="264" w:lineRule="auto"/>
              <w:ind w:left="170"/>
              <w:jc w:val="both"/>
            </w:pPr>
            <w:r>
              <w:rPr>
                <w:b/>
                <w:color w:val="B8663F"/>
                <w:sz w:val="21"/>
              </w:rPr>
              <w:t xml:space="preserve">• </w:t>
            </w:r>
            <w:r>
              <w:rPr>
                <w:b w:val="0"/>
                <w:color w:val="1F2937"/>
                <w:sz w:val="21"/>
              </w:rPr>
              <w:t>Baute ein persistentes semantisches Gedächtnis über PDF und Vektordaten auf, messbar an konsistenter Wiederfindung über Session Grenzen hinweg, gestützt auf ChromaDB mit lokaler Persistenz und HuggingFace MiniLM L6 v2 Embeddings.</w:t>
            </w:r>
          </w:p>
          <w:p>
            <w:pPr>
              <w:spacing w:before="0" w:after="0" w:line="264" w:lineRule="auto"/>
              <w:ind w:left="170"/>
              <w:jc w:val="both"/>
            </w:pPr>
            <w:r>
              <w:rPr>
                <w:b/>
                <w:color w:val="B8663F"/>
                <w:sz w:val="21"/>
              </w:rPr>
              <w:t xml:space="preserve">• </w:t>
            </w:r>
            <w:r>
              <w:rPr>
                <w:b w:val="0"/>
                <w:color w:val="1F2937"/>
                <w:sz w:val="21"/>
              </w:rPr>
              <w:t>Erhielt Mehrturn Kontext für das LLM, messbar an kohärenten Nachfragen statt isolierten Einzelantworten, indem ein zustandsbehafteter MemoryAgent direkt in die Inference Pipeline eingebaut wurde.</w:t>
            </w:r>
          </w:p>
          <w:p>
            <w:pPr>
              <w:spacing w:before="0" w:after="0" w:line="264" w:lineRule="auto"/>
              <w:ind w:left="170"/>
              <w:jc w:val="both"/>
            </w:pPr>
            <w:r>
              <w:rPr>
                <w:b/>
                <w:color w:val="B8663F"/>
                <w:sz w:val="21"/>
              </w:rPr>
              <w:t xml:space="preserve">• </w:t>
            </w:r>
            <w:r>
              <w:rPr>
                <w:b w:val="0"/>
                <w:color w:val="1F2937"/>
                <w:sz w:val="21"/>
              </w:rPr>
              <w:t>Lieferte das Gesamtsystem als Streamlit Interface aus, mit end to end Verantwortung, messbar an einem lauffähigen deployten Prototyp, gestützt auf Groq Inference und eine erweiterbare Routing Schicht.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pPr>
      <w:r>
        <w:rPr>
          <w:color w:val="1F2937"/>
          <w:sz w:val="21"/>
        </w:rPr>
        <w:t>Englisch: C1 fließend. Deutsch: B1 laufend Richtung B2. Hindi: Muttersprache.</w:t>
      </w:r>
    </w:p>
    <w:p>
      <w:pPr>
        <w:spacing w:before="20" w:after="0" w:line="240" w:lineRule="auto"/>
      </w:pPr>
      <w:r>
        <w:rPr>
          <w:color w:val="1F2937"/>
          <w:sz w:val="21"/>
        </w:rPr>
        <w:t>Mannheim, 20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