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DATA SCIENTIST</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Data Science and Analytics Master student at SRH Heidelberg based in Mannheim, actively seeking a mandatory Praxissemester in Data Science and AI. I have shipped a modular Retrieval Augmented Generation system on Llama 3.1, a fairness aware credit scoring system with a full EU AI Act write up, and a Bachelor Thesis on machine learning for clinical prediction with honest limitation reporting. Comfortable working remotely, I am well positioned to contribute meaningfully to XiLLeR's Data Science and KI work from day one.</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Hybrid RAG Orchestrator: </w:t>
      </w:r>
      <w:r>
        <w:rPr>
          <w:rFonts w:ascii="Calibri" w:hAnsi="Calibri"/>
          <w:b w:val="0"/>
          <w:i/>
          <w:color w:val="7A6B58"/>
          <w:sz w:val="21"/>
        </w:rPr>
        <w:t>Python, LangChain, Llama 3.1 8b via Groq, ChromaDB, HuggingFace MiniLM L6 v2,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Designed a modular Retrieval Augmented Generation system using Llama 3.1 8b via Groq for high speed inference and LangChain for orchestration.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a custom decision making router that dynamically classifies user intent into three execution paths, local knowledge retrieval from PDF and vector store, external web search via DuckDuckGo, or direct conversational logic.</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Implemented ChromaDB with local persistence for document storage, using HuggingFace MiniLM L6 v2 for semantic embeddings and a stateful memory agent that maintains conversational context across multiple turns.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end to end behind a Streamlit interface with full ownership from prototype to deployed tool.</w:t>
      </w:r>
    </w:p>
    <w:p>
      <w:pPr>
        <w:spacing w:before="60" w:after="20"/>
      </w:pPr>
      <w:r>
        <w:rPr>
          <w:rFonts w:ascii="Calibri" w:hAnsi="Calibri"/>
          <w:b/>
          <w:i w:val="0"/>
          <w:color w:val="1F5F6B"/>
          <w:sz w:val="23"/>
        </w:rPr>
        <w:t xml:space="preserve">CreditIQ, Fairness by Design Credit Scoring System: </w:t>
      </w:r>
      <w:r>
        <w:rPr>
          <w:rFonts w:ascii="Calibri" w:hAnsi="Calibri"/>
          <w:b w:val="0"/>
          <w:i/>
          <w:color w:val="7A6B58"/>
          <w:sz w:val="21"/>
        </w:rPr>
        <w:t>Python, scikit learn, AIF360, SHAP,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Lifted the model's Disparate Impact ratio from a failing 0.79 to a compliant 0.88, clearing the EU AI Act and AGG 80 percent fairness threshold, an exercise in defensible modelling under EU regulation.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Cut the false negative rate from 44 percent to 16.7 percent while holding accuracy at 75 percent, documenting the fairness accuracy trade off as a deliberate and regulator defensible decision.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a Streamlit decision support tool giving finance managers a recommendation plus a plain language LLM generated explanation, keeping a human in the loop per GDPR Article 22 and EU AI Act Article 14.</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Backed the pipeline with unit tests at 100 percent branch coverage and a full regulatory write up covering EU AI Act Annex III, GDPR, a model card, and attack vectors.</w:t>
      </w:r>
    </w:p>
    <w:p>
      <w:pPr>
        <w:spacing w:before="60" w:after="20"/>
      </w:pPr>
      <w:r>
        <w:rPr>
          <w:rFonts w:ascii="Calibri" w:hAnsi="Calibri"/>
          <w:b/>
          <w:i w:val="0"/>
          <w:color w:val="1F5F6B"/>
          <w:sz w:val="23"/>
        </w:rPr>
        <w:t xml:space="preserve">Movie Analytics and ML Pipeline, Cloud Native Data Platform: </w:t>
      </w:r>
      <w:r>
        <w:rPr>
          <w:rFonts w:ascii="Calibri" w:hAnsi="Calibri"/>
          <w:b w:val="0"/>
          <w:i/>
          <w:color w:val="7A6B58"/>
          <w:sz w:val="21"/>
        </w:rPr>
        <w:t>GCP BigQuery, Cloud Run, GCS, Cloud Scheduler, BigQuery ML, Python, SQL, Looker Studio</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the Silver layer for trustworthy analytics with schema enforcement, safe type casting, deduplication via window functions, and normalisation into a relational model.</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Trained a BigQuery ML classifier to predict whether a film will be a hit before release, deliberately splitting features into two tables to prevent data leakage and keeping only pre release signals.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Gold layer aggregates and a five page Looker Studio dashboard answering concrete business questions on genre ROI, foreign language growth, and release season timing, plus an ML early warning view.</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Secured the system with a least privilege service account and Secret Manager and version controlled all code, SQL, and schemas in a reproducible GitHub repository.</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NVIDIA Building LLM Applications With Prompt Engineering: issued November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AWS Academy Graduate, AWS Academy Cloud Foundations: issued July 2025.</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