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AI Working Student</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 student in Data Science and Analytics at SRH Heidelberg based in Mannheim with hands on delivery of generative AI, large language model applications, and computer vision leaning pipelines. I built a Hybrid RAG Orchestrator with agentic routing over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delivered a fairness by design credit scoring system under the EU AI Act, and ran an end to end recursive time series pipeline at eRay GmbH with strict anti leakage rules. Confident in Python, LangChain, ChromaDB, HuggingFace embeddings, scikit learn, and data scraping with Selenium and BeautifulSoup.</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During a six month eRay GmbH and SRH Heidelberg collaboration to forecast water quality on a German lake, tasked with covering four indicators over rolling horizons, built an end to end recursive time series pipeline for chlorophyll a, turbidity, pH, and dissolved oxygen, delivered as a production ready module the client can rerun on every new sensor drop.</w:t>
            </w:r>
          </w:p>
          <w:p>
            <w:pPr>
              <w:spacing w:before="0" w:after="0" w:line="264" w:lineRule="auto"/>
              <w:ind w:left="170"/>
              <w:jc w:val="both"/>
            </w:pPr>
            <w:r>
              <w:rPr>
                <w:b/>
                <w:color w:val="B8663F"/>
                <w:sz w:val="21"/>
              </w:rPr>
              <w:t xml:space="preserve">• </w:t>
            </w:r>
            <w:r>
              <w:rPr>
                <w:b w:val="0"/>
                <w:color w:val="1F2937"/>
                <w:sz w:val="21"/>
              </w:rPr>
              <w:t xml:space="preserve">Faced with model choice ambiguity for the forecasting task and the need to convey uncertainty to non technical stakeholders, benchmarked six candidates head to head, Ridge, Gradient Boosting, LightGBM, XGBoost, CatBoost, and Prophet, then landed on CatBoost multi quantile regression, which produced asymmetric </w:t>
            </w:r>
            <w:r>
              <w:rPr>
                <w:b/>
                <w:color w:val="1F3A5F"/>
                <w:sz w:val="21"/>
              </w:rPr>
              <w:t>80 percent</w:t>
            </w:r>
            <w:r>
              <w:rPr>
                <w:b w:val="0"/>
                <w:color w:val="1F2937"/>
                <w:sz w:val="21"/>
              </w:rPr>
              <w:t xml:space="preserve"> prediction intervals that gave the client decision support under uncertainty.</w:t>
            </w:r>
          </w:p>
          <w:p>
            <w:pPr>
              <w:spacing w:before="0" w:after="0" w:line="264" w:lineRule="auto"/>
              <w:ind w:left="170"/>
              <w:jc w:val="both"/>
            </w:pPr>
            <w:r>
              <w:rPr>
                <w:b/>
                <w:color w:val="B8663F"/>
                <w:sz w:val="21"/>
              </w:rPr>
              <w:t xml:space="preserve">• </w:t>
            </w:r>
            <w:r>
              <w:rPr>
                <w:b w:val="0"/>
                <w:color w:val="1F2937"/>
                <w:sz w:val="21"/>
              </w:rPr>
              <w:t>Concerned that naive time series splits would inflate accuracy, tasked with making the evaluation defensible, enforced strict anti leakage rules across the pipeline, which surfaced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With winter readings missing and tree based models flatlining during recursive prediction, needing realistic seasonal shape in the downstream forecasts, reconstructed missing values with MICE imputation and engineered a synthetic winter decay forecast canvas, which restored believable winter behaviour without introducing bias into the training window.</w:t>
            </w:r>
          </w:p>
          <w:p>
            <w:pPr>
              <w:spacing w:before="0" w:after="0" w:line="264" w:lineRule="auto"/>
              <w:ind w:left="170"/>
              <w:jc w:val="both"/>
            </w:pPr>
            <w:r>
              <w:rPr>
                <w:b/>
                <w:color w:val="B8663F"/>
                <w:sz w:val="21"/>
              </w:rPr>
              <w:t xml:space="preserve">• </w:t>
            </w:r>
            <w:r>
              <w:rPr>
                <w:b w:val="0"/>
                <w:color w:val="1F2937"/>
                <w:sz w:val="21"/>
              </w:rPr>
              <w:t>To prevent bad data cascading downstream through the recursive forecaster, tasked with hardening the run loop, wrapped the pipeline in an orchestrator with gate checks and velocity and ecological bounds, so a failed imputation now halts the run rather than corrupting weeks of downstream predictions.</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to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64" w:lineRule="auto"/>
              <w:ind w:left="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8 routes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to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For a personal RAG project that needed to answer from local PDFs, live web, and small talk without a hardcoded path, tasked with building the router, delivered a modular Retrieval Augmented Generation system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 with a custom decision making router that classifies user intent into three execution paths, local knowledge retrieval, external web search, or direct conversational logic, and returns clean end to end responses on all three routes.</w:t>
            </w:r>
          </w:p>
          <w:p>
            <w:pPr>
              <w:spacing w:before="0" w:after="0" w:line="264" w:lineRule="auto"/>
              <w:ind w:left="170"/>
              <w:jc w:val="both"/>
            </w:pPr>
            <w:r>
              <w:rPr>
                <w:b/>
                <w:color w:val="B8663F"/>
                <w:sz w:val="21"/>
              </w:rPr>
              <w:t xml:space="preserve">• </w:t>
            </w:r>
            <w:r>
              <w:rPr>
                <w:b w:val="0"/>
                <w:color w:val="1F2937"/>
                <w:sz w:val="21"/>
              </w:rPr>
              <w:t>With document knowledge needing to persist across sessions rather than being reloaded each run, tasked with adding a durable semantic memory, built a ChromaDB store with local persistence and HuggingFace MiniLM L6 v2 embeddings over the PDF and vector data, which returned consistent retrieval on cross session queries.</w:t>
            </w:r>
          </w:p>
          <w:p>
            <w:pPr>
              <w:spacing w:before="0" w:after="0" w:line="264" w:lineRule="auto"/>
              <w:ind w:left="170"/>
              <w:jc w:val="both"/>
            </w:pPr>
            <w:r>
              <w:rPr>
                <w:b/>
                <w:color w:val="B8663F"/>
                <w:sz w:val="21"/>
              </w:rPr>
              <w:t xml:space="preserve">• </w:t>
            </w:r>
            <w:r>
              <w:rPr>
                <w:b w:val="0"/>
                <w:color w:val="1F2937"/>
                <w:sz w:val="21"/>
              </w:rPr>
              <w:t>Because single shot responses were breaking follow up questions in testing, tasked with keeping multi turn context intact for the LLM, added a stateful MemoryAgent directly into the inference pipeline, which produced coherent follow up answers rather than isolated single shot responses.</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For an SRH Heidelberg project on regulated credit scoring where a baseline model was failing the EU AI Act and AGG </w:t>
            </w:r>
            <w:r>
              <w:rPr>
                <w:b/>
                <w:color w:val="1F3A5F"/>
                <w:sz w:val="21"/>
              </w:rPr>
              <w:t>80 percent</w:t>
            </w:r>
            <w:r>
              <w:rPr>
                <w:b w:val="0"/>
                <w:color w:val="1F2937"/>
                <w:sz w:val="21"/>
              </w:rPr>
              <w:t xml:space="preserve"> fairness bar, tasked with getting it back into compliance without gutting predictive quality, applied AIF360 mitigation and threshold calibration on a real credit dataset, which raised the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w:t>
            </w:r>
          </w:p>
          <w:p>
            <w:pPr>
              <w:spacing w:before="0" w:after="0" w:line="264" w:lineRule="auto"/>
              <w:ind w:left="170"/>
              <w:jc w:val="both"/>
            </w:pPr>
            <w:r>
              <w:rPr>
                <w:b/>
                <w:color w:val="B8663F"/>
                <w:sz w:val="21"/>
              </w:rPr>
              <w:t xml:space="preserve">• </w:t>
            </w:r>
            <w:r>
              <w:rPr>
                <w:b w:val="0"/>
                <w:color w:val="1F2937"/>
                <w:sz w:val="21"/>
              </w:rPr>
              <w:t>After single axis age bias was fixed but younger women were still being penalised, tasked with finding and correcting the hidden intersectional bias, used SHAP driven subgroup analysis to expose the pattern and designed a four way age by gender threshold matrix, which corrected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With a large false negative rate silently rejecting good applicants, tasked with cutting it while keeping overall accuracy defensible, documented the fairness accuracy trade off as a deliberate and regulator defensible decision, which brought the false negative rate down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accuracy held at </w:t>
            </w:r>
            <w:r>
              <w:rPr>
                <w:b/>
                <w:color w:val="1F3A5F"/>
                <w:sz w:val="21"/>
              </w:rPr>
              <w:t>75 percent</w:t>
            </w:r>
            <w:r>
              <w:rPr>
                <w:b w:val="0"/>
                <w:color w:val="1F2937"/>
                <w:sz w:val="21"/>
              </w:rPr>
              <w:t xml:space="preserve"> on the held out test split.</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64" w:lineRule="auto"/>
              <w:ind w:left="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64" w:lineRule="auto"/>
              <w:ind w:left="170"/>
              <w:jc w:val="both"/>
            </w:pPr>
            <w:r>
              <w:rPr>
                <w:b/>
                <w:color w:val="B8663F"/>
                <w:sz w:val="21"/>
              </w:rPr>
              <w:t xml:space="preserve">• </w:t>
            </w:r>
            <w:r>
              <w:rPr>
                <w:b w:val="0"/>
                <w:color w:val="1F2937"/>
                <w:sz w:val="21"/>
              </w:rPr>
              <w:t xml:space="preserve">With a </w:t>
            </w:r>
            <w:r>
              <w:rPr>
                <w:b/>
                <w:color w:val="1F3A5F"/>
                <w:sz w:val="21"/>
              </w:rPr>
              <w:t>65 to 35</w:t>
            </w:r>
            <w:r>
              <w:rPr>
                <w:b w:val="0"/>
                <w:color w:val="1F2937"/>
                <w:sz w:val="21"/>
              </w:rPr>
              <w:t xml:space="preserve"> class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64" w:lineRule="auto"/>
              <w:ind w:left="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