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Calibri" w:hAnsi="Calibri"/>
          <w:b/>
          <w:i w:val="0"/>
          <w:color w:val="1F5F6B"/>
          <w:sz w:val="38"/>
        </w:rPr>
        <w:t>Rahul Rawat</w:t>
      </w:r>
    </w:p>
    <w:p>
      <w:pPr>
        <w:spacing w:after="40"/>
      </w:pPr>
      <w:r>
        <w:rPr>
          <w:rFonts w:ascii="Calibri" w:hAnsi="Calibri"/>
          <w:b/>
          <w:i w:val="0"/>
          <w:color w:val="B8663F"/>
          <w:sz w:val="20"/>
        </w:rPr>
        <w:t>AI ENGINEER</w:t>
      </w:r>
    </w:p>
    <w:p>
      <w:pPr>
        <w:spacing w:after="40"/>
      </w:pPr>
      <w:r>
        <w:rPr>
          <w:rFonts w:ascii="Calibri" w:hAnsi="Calibri"/>
          <w:b w:val="0"/>
          <w:i w:val="0"/>
          <w:color w:val="2B2F3A"/>
          <w:sz w:val="20"/>
        </w:rPr>
        <w:t>rahulrawat2r@gmail.com  •  015563603340  •  linkedin.com/in/rahulrawat2r  •  github.com/rahulrawat20022002  •  Mannheim, Germany</w:t>
      </w:r>
    </w:p>
    <w:p>
      <w:pPr>
        <w:spacing w:before="40" w:after="80"/>
        <w:pBdr>
          <w:bottom w:val="single" w:sz="6" w:space="1" w:color="D0D0D0"/>
        </w:pBdr>
      </w:pPr>
    </w:p>
    <w:p>
      <w:pPr>
        <w:spacing w:before="80" w:after="60"/>
      </w:pPr>
      <w:r>
        <w:rPr>
          <w:rFonts w:ascii="Calibri" w:hAnsi="Calibri"/>
          <w:b/>
          <w:i w:val="0"/>
          <w:color w:val="1F5F6B"/>
          <w:sz w:val="25"/>
        </w:rPr>
        <w:t>PROFILE</w:t>
      </w:r>
    </w:p>
    <w:p>
      <w:pPr>
        <w:spacing w:after="40"/>
        <w:jc w:val="both"/>
      </w:pPr>
      <w:r>
        <w:rPr>
          <w:rFonts w:ascii="Calibri" w:hAnsi="Calibri"/>
          <w:b w:val="0"/>
          <w:i w:val="0"/>
          <w:color w:val="2B2F3A"/>
          <w:sz w:val="21"/>
        </w:rPr>
        <w:t>Data Science and Analytics Master student at SRH Heidelberg based in Mannheim, with hands on experience building agentic language model systems end to end. I have shipped a modular Retrieval Augmented Generation system on Llama 3.1 with a decision making router and a stateful memory agent, a fairness aware credit scoring system with a full EU AI Act write up, and a Bachelor Thesis with rigorous model evaluation. Fluent in Python and modern LLM tooling, I am well suited to help agentic fox AI ship AI automation and agent engineering work.</w:t>
      </w:r>
    </w:p>
    <w:p>
      <w:pPr>
        <w:spacing w:before="40" w:after="80"/>
        <w:pBdr>
          <w:bottom w:val="single" w:sz="6" w:space="1" w:color="D0D0D0"/>
        </w:pBdr>
      </w:pPr>
    </w:p>
    <w:p>
      <w:pPr>
        <w:spacing w:before="80" w:after="60"/>
      </w:pPr>
      <w:r>
        <w:rPr>
          <w:rFonts w:ascii="Calibri" w:hAnsi="Calibri"/>
          <w:b/>
          <w:i w:val="0"/>
          <w:color w:val="1F5F6B"/>
          <w:sz w:val="25"/>
        </w:rPr>
        <w:t>EXPERIENCE</w:t>
      </w:r>
    </w:p>
    <w:p>
      <w:pPr>
        <w:tabs>
          <w:tab w:pos="10426" w:val="right"/>
        </w:tabs>
        <w:spacing w:before="40" w:after="20"/>
      </w:pPr>
      <w:r>
        <w:rPr>
          <w:rFonts w:ascii="Calibri" w:hAnsi="Calibri"/>
          <w:b/>
          <w:i w:val="0"/>
          <w:color w:val="1F5F6B"/>
          <w:sz w:val="23"/>
        </w:rPr>
        <w:t>eRay GmbH</w:t>
      </w:r>
      <w:r>
        <w:tab/>
      </w:r>
      <w:r>
        <w:rPr>
          <w:rFonts w:ascii="Calibri" w:hAnsi="Calibri"/>
          <w:b/>
          <w:i w:val="0"/>
          <w:color w:val="B8663F"/>
          <w:sz w:val="20"/>
        </w:rPr>
        <w:t>Oct 2025 to Mar 2026</w:t>
      </w:r>
    </w:p>
    <w:p>
      <w:pPr>
        <w:spacing w:after="20"/>
      </w:pPr>
      <w:r>
        <w:rPr>
          <w:rFonts w:ascii="Calibri" w:hAnsi="Calibri"/>
          <w:b w:val="0"/>
          <w:i/>
          <w:color w:val="7A6B58"/>
          <w:sz w:val="21"/>
        </w:rPr>
        <w:t>Data Scientist</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Built an end to end recursive time series pipeline forecasting chlorophyll a, turbidity, pH, and dissolved oxygen for a German lake, delivered as a six month collaboration with SRH University Heidelberg.</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Benchmarked six models head to head, Ridge, Gradient Boosting, LightGBM, XGBoost, CatBoost, and Prophet, and used CatBoost multi quantile regression to produce asymmetric 80 percent prediction intervals for decision support under uncertainty.</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Enforced strict anti leakage rules across the pipeline, surfacing the honest finding that pH and dissolved oxygen are physically predictable while chlorophyll a and turbidity are not without live optical sensors.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Reconstructed missing winter readings with MICE imputation and engineered a synthetic winter decay forecast canvas so tree based models stopped flatlining during recursive prediction on a limited prediction horizon.</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Wrapped the whole pipeline in an orchestrator with gate checks and velocity and ecological bounds that halts on failed imputation rather than letting bad data cascade downstream.</w:t>
      </w:r>
    </w:p>
    <w:p>
      <w:pPr>
        <w:spacing w:before="40" w:after="80"/>
        <w:pBdr>
          <w:bottom w:val="single" w:sz="6" w:space="1" w:color="D0D0D0"/>
        </w:pBdr>
      </w:pPr>
    </w:p>
    <w:p>
      <w:pPr>
        <w:spacing w:before="80" w:after="60"/>
      </w:pPr>
      <w:r>
        <w:rPr>
          <w:rFonts w:ascii="Calibri" w:hAnsi="Calibri"/>
          <w:b/>
          <w:i w:val="0"/>
          <w:color w:val="1F5F6B"/>
          <w:sz w:val="25"/>
        </w:rPr>
        <w:t>EDUCATION</w:t>
      </w:r>
    </w:p>
    <w:p>
      <w:pPr>
        <w:tabs>
          <w:tab w:pos="10426" w:val="right"/>
        </w:tabs>
        <w:spacing w:before="40" w:after="20"/>
      </w:pPr>
      <w:r>
        <w:rPr>
          <w:rFonts w:ascii="Calibri" w:hAnsi="Calibri"/>
          <w:b/>
          <w:i w:val="0"/>
          <w:color w:val="1F5F6B"/>
          <w:sz w:val="23"/>
        </w:rPr>
        <w:t>M.Sc. Data Science and Analytics</w:t>
      </w:r>
      <w:r>
        <w:tab/>
      </w:r>
      <w:r>
        <w:rPr>
          <w:rFonts w:ascii="Calibri" w:hAnsi="Calibri"/>
          <w:b/>
          <w:i w:val="0"/>
          <w:color w:val="B8663F"/>
          <w:sz w:val="20"/>
        </w:rPr>
        <w:t>Apr 2025 to Present</w:t>
      </w:r>
    </w:p>
    <w:p>
      <w:pPr>
        <w:spacing w:after="20"/>
      </w:pPr>
      <w:r>
        <w:rPr>
          <w:rFonts w:ascii="Calibri" w:hAnsi="Calibri"/>
          <w:b w:val="0"/>
          <w:i/>
          <w:color w:val="7A6B58"/>
          <w:sz w:val="21"/>
        </w:rPr>
        <w:t>SRH University of Applied Sciences Heidelberg</w:t>
      </w:r>
    </w:p>
    <w:p>
      <w:pPr>
        <w:tabs>
          <w:tab w:pos="10426" w:val="right"/>
        </w:tabs>
        <w:spacing w:before="40" w:after="20"/>
      </w:pPr>
      <w:r>
        <w:rPr>
          <w:rFonts w:ascii="Calibri" w:hAnsi="Calibri"/>
          <w:b/>
          <w:i w:val="0"/>
          <w:color w:val="1F5F6B"/>
          <w:sz w:val="23"/>
        </w:rPr>
        <w:t>Bachelor of Technology in Computer Science</w:t>
      </w:r>
      <w:r>
        <w:tab/>
      </w:r>
      <w:r>
        <w:rPr>
          <w:rFonts w:ascii="Calibri" w:hAnsi="Calibri"/>
          <w:b/>
          <w:i w:val="0"/>
          <w:color w:val="B8663F"/>
          <w:sz w:val="20"/>
        </w:rPr>
        <w:t>2019 to 2023</w:t>
      </w:r>
    </w:p>
    <w:p>
      <w:pPr>
        <w:spacing w:after="20"/>
      </w:pPr>
      <w:r>
        <w:rPr>
          <w:rFonts w:ascii="Calibri" w:hAnsi="Calibri"/>
          <w:b w:val="0"/>
          <w:i/>
          <w:color w:val="7A6B58"/>
          <w:sz w:val="21"/>
        </w:rPr>
        <w:t>GL Bajaj Institute of Technology and Management</w:t>
      </w:r>
    </w:p>
    <w:p>
      <w:pPr>
        <w:spacing w:before="40" w:after="80"/>
        <w:pBdr>
          <w:bottom w:val="single" w:sz="6" w:space="1" w:color="D0D0D0"/>
        </w:pBdr>
      </w:pPr>
    </w:p>
    <w:p>
      <w:pPr>
        <w:spacing w:before="80" w:after="60"/>
      </w:pPr>
      <w:r>
        <w:rPr>
          <w:rFonts w:ascii="Calibri" w:hAnsi="Calibri"/>
          <w:b/>
          <w:i w:val="0"/>
          <w:color w:val="1F5F6B"/>
          <w:sz w:val="25"/>
        </w:rPr>
        <w:t>PERSONAL PROJECTS</w:t>
      </w:r>
    </w:p>
    <w:p>
      <w:pPr>
        <w:spacing w:before="60" w:after="20"/>
      </w:pPr>
      <w:r>
        <w:rPr>
          <w:rFonts w:ascii="Calibri" w:hAnsi="Calibri"/>
          <w:b/>
          <w:i w:val="0"/>
          <w:color w:val="1F5F6B"/>
          <w:sz w:val="23"/>
        </w:rPr>
        <w:t xml:space="preserve">Hybrid RAG Orchestrator: </w:t>
      </w:r>
      <w:r>
        <w:rPr>
          <w:rFonts w:ascii="Calibri" w:hAnsi="Calibri"/>
          <w:b w:val="0"/>
          <w:i/>
          <w:color w:val="7A6B58"/>
          <w:sz w:val="21"/>
        </w:rPr>
        <w:t>Python, LangChain, Llama 3.1 8b via Groq, ChromaDB, HuggingFace MiniLM L6 v2, Streamlit</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Designed a modular Retrieval Augmented Generation system using Llama 3.1 8b via Groq for high speed inference and LangChain for orchestration.</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Engineered a custom decision making router that dynamically classifies user intent into three execution paths, local knowledge retrieval from PDF and vector store, external web search via DuckDuckGo, or direct conversational logic.</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Implemented ChromaDB with local persistence for document storage, using HuggingFace MiniLM L6 v2 for semantic embeddings and a stateful memory agent that maintains conversational context across multiple turns.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Shipped end to end behind a Streamlit interface with full ownership from prototype to deployed tool.</w:t>
      </w:r>
    </w:p>
    <w:p>
      <w:pPr>
        <w:spacing w:before="60" w:after="20"/>
      </w:pPr>
      <w:r>
        <w:rPr>
          <w:rFonts w:ascii="Calibri" w:hAnsi="Calibri"/>
          <w:b/>
          <w:i w:val="0"/>
          <w:color w:val="1F5F6B"/>
          <w:sz w:val="23"/>
        </w:rPr>
        <w:t xml:space="preserve">CreditIQ, Fairness by Design Credit Scoring System: </w:t>
      </w:r>
      <w:r>
        <w:rPr>
          <w:rFonts w:ascii="Calibri" w:hAnsi="Calibri"/>
          <w:b w:val="0"/>
          <w:i/>
          <w:color w:val="7A6B58"/>
          <w:sz w:val="21"/>
        </w:rPr>
        <w:t>Python, scikit learn, AIF360, SHAP, Streamlit</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Lifted the model's Disparate Impact ratio from a failing 0.79 to a compliant 0.88, clearing the EU AI Act and AGG 80 percent fairness threshold, an exercise in defensible modelling under EU regulation.</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Diagnosed a hidden intersectional bias where younger women were still being penalised even after single axis age bias was fixed, using SHAP, then designed a four way age by gender threshold matrix to correct it without over correcting into reverse discrimination.</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Cut the false negative rate from 44 percent to 16.7 percent while holding accuracy at 75 percent, documenting the fairness accuracy trade off as a deliberate and regulator defensible decision.</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Shipped a Streamlit decision support tool giving finance managers a recommendation plus a plain language LLM generated explanation, keeping a human in the loop per GDPR Article 22 and EU AI Act Article 14.</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Backed the pipeline with unit tests at 100 percent branch coverage and a full regulatory write up covering EU AI Act Annex III, GDPR, a model card, and attack vectors.</w:t>
      </w:r>
    </w:p>
    <w:p>
      <w:pPr>
        <w:spacing w:before="60" w:after="20"/>
      </w:pPr>
      <w:r>
        <w:rPr>
          <w:rFonts w:ascii="Calibri" w:hAnsi="Calibri"/>
          <w:b/>
          <w:i w:val="0"/>
          <w:color w:val="1F5F6B"/>
          <w:sz w:val="23"/>
        </w:rPr>
        <w:t xml:space="preserve">Movie Analytics and ML Pipeline, Cloud Native Data Platform: </w:t>
      </w:r>
      <w:r>
        <w:rPr>
          <w:rFonts w:ascii="Calibri" w:hAnsi="Calibri"/>
          <w:b w:val="0"/>
          <w:i/>
          <w:color w:val="7A6B58"/>
          <w:sz w:val="21"/>
        </w:rPr>
        <w:t>GCP BigQuery, Cloud Run, GCS, Cloud Scheduler, BigQuery ML, Python, SQL, Looker Studio</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Built an end to end batch pipeline pulling data from a public API into a GCS data lake, processed through Bronze to Silver to Gold medallion architecture in BigQuery, fully automated on a Cloud Scheduler trigger with no manual steps.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Engineered the Silver layer for trustworthy analytics with schema enforcement, safe type casting, deduplication via window functions, and normalisation into a relational model.</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Trained a BigQuery ML classifier to predict whether a film will be a hit before release, deliberately splitting features into two tables to prevent data leakage and keeping only pre release signals.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Built Gold layer aggregates and a five page Looker Studio dashboard answering concrete business questions on genre ROI, foreign language growth, and release season timing, plus an ML early warning view.</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Secured the system with a least privilege service account and Secret Manager and version controlled all code, SQL, and schemas in a reproducible GitHub repository.</w:t>
      </w:r>
    </w:p>
    <w:p>
      <w:pPr>
        <w:spacing w:before="40" w:after="80"/>
        <w:pBdr>
          <w:bottom w:val="single" w:sz="6" w:space="1" w:color="D0D0D0"/>
        </w:pBdr>
      </w:pPr>
    </w:p>
    <w:p>
      <w:pPr>
        <w:spacing w:before="80" w:after="60"/>
      </w:pPr>
      <w:r>
        <w:rPr>
          <w:rFonts w:ascii="Calibri" w:hAnsi="Calibri"/>
          <w:b/>
          <w:i w:val="0"/>
          <w:color w:val="1F5F6B"/>
          <w:sz w:val="25"/>
        </w:rPr>
        <w:t>RESEARCH AND THESIS</w:t>
      </w:r>
    </w:p>
    <w:p>
      <w:pPr>
        <w:spacing w:before="40" w:after="20"/>
      </w:pPr>
      <w:r>
        <w:rPr>
          <w:rFonts w:ascii="Calibri" w:hAnsi="Calibri"/>
          <w:b/>
          <w:i w:val="0"/>
          <w:color w:val="1F5F6B"/>
          <w:sz w:val="23"/>
        </w:rPr>
        <w:t>Bachelor Thesis, Diabetes Prediction Using Machine Learning</w:t>
      </w:r>
    </w:p>
    <w:p>
      <w:pPr>
        <w:spacing w:after="20"/>
      </w:pPr>
      <w:r>
        <w:rPr>
          <w:rFonts w:ascii="Calibri" w:hAnsi="Calibri"/>
          <w:b w:val="0"/>
          <w:i/>
          <w:color w:val="7A6B58"/>
          <w:sz w:val="21"/>
        </w:rPr>
        <w:t>GL Bajaj Institute of Technology and Management, IEEE style paper</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Built a full end to end machine learning pipeline comparing six classifiers on a clinical dataset of 768 patients, using 10 fold cross validation and per model confusion matrices.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Caught biologically impossible zero values that the original authors had overlooked, then applied IQR based outlier removal and proper imputation to restore data integrity.</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Chose ROC AUC over accuracy as the headline metric for a 65 to 35 imbalanced dataset, avoiding a misleadingly rosy accuracy figure that would have hidden real error patterns.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Wrote up findings as an IEEE style paper including an honest section on limitations and what to do differently in a follow up study.</w:t>
      </w:r>
    </w:p>
    <w:p>
      <w:pPr>
        <w:spacing w:before="40" w:after="80"/>
        <w:pBdr>
          <w:bottom w:val="single" w:sz="6" w:space="1" w:color="D0D0D0"/>
        </w:pBdr>
      </w:pPr>
    </w:p>
    <w:p>
      <w:pPr>
        <w:spacing w:before="80" w:after="60"/>
      </w:pPr>
      <w:r>
        <w:rPr>
          <w:rFonts w:ascii="Calibri" w:hAnsi="Calibri"/>
          <w:b/>
          <w:i w:val="0"/>
          <w:color w:val="1F5F6B"/>
          <w:sz w:val="25"/>
        </w:rPr>
        <w:t>CERTIFICATIONS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NVIDIA Building LLM Applications With Prompt Engineering: issued November 2025.</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AWS Academy Graduate, AWS Academy Cloud Foundations: issued July 2025.</w:t>
      </w:r>
    </w:p>
    <w:p>
      <w:pPr>
        <w:spacing w:before="40" w:after="80"/>
        <w:pBdr>
          <w:bottom w:val="single" w:sz="6" w:space="1" w:color="D0D0D0"/>
        </w:pBdr>
      </w:pPr>
    </w:p>
    <w:p>
      <w:pPr>
        <w:spacing w:before="80" w:after="60"/>
      </w:pPr>
      <w:r>
        <w:rPr>
          <w:rFonts w:ascii="Calibri" w:hAnsi="Calibri"/>
          <w:b/>
          <w:i w:val="0"/>
          <w:color w:val="1F5F6B"/>
          <w:sz w:val="25"/>
        </w:rPr>
        <w:t>ACHIEVEMENTS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USAII Global AI Hackathon 2026: Finalist at Graduate Level, awarded by the United States Artificial Intelligence Institute for innovation, technical creativity, and applied AI on real world challenges.</w:t>
      </w:r>
    </w:p>
    <w:p>
      <w:pPr>
        <w:spacing w:before="40" w:after="80"/>
        <w:pBdr>
          <w:bottom w:val="single" w:sz="6" w:space="1" w:color="D0D0D0"/>
        </w:pBdr>
      </w:pPr>
    </w:p>
    <w:p>
      <w:pPr>
        <w:spacing w:before="80" w:after="60"/>
      </w:pPr>
      <w:r>
        <w:rPr>
          <w:rFonts w:ascii="Calibri" w:hAnsi="Calibri"/>
          <w:b/>
          <w:i w:val="0"/>
          <w:color w:val="1F5F6B"/>
          <w:sz w:val="25"/>
        </w:rPr>
        <w:t>LANGUAGES</w:t>
      </w:r>
    </w:p>
    <w:p>
      <w:pPr>
        <w:jc w:val="both"/>
      </w:pPr>
      <w:r>
        <w:rPr>
          <w:rFonts w:ascii="Calibri" w:hAnsi="Calibri"/>
          <w:b w:val="0"/>
          <w:i w:val="0"/>
          <w:color w:val="2B2F3A"/>
          <w:sz w:val="21"/>
        </w:rPr>
        <w:t>English: fluent, professional working proficiency. German: B1, in progress.</w:t>
      </w:r>
    </w:p>
    <w:sectPr w:rsidR="00FC693F" w:rsidRPr="0006063C" w:rsidSect="00034616">
      <w:pgSz w:w="12240" w:h="15840"/>
      <w:pgMar w:top="680" w:right="907" w:bottom="68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