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Data Science Master's Student | Business Analytics and Dashboards | Python + SQL + Tableau</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Master's student in Data Science and Analytics at SRH Heidelberg, based in Mannheim, with hands on experience turning raw operational data into dashboards and decision support for non technical stakeholders. I built a Tableau based Fast Food Nutritional Analyzer with Set Actions and parameter driven analytics, and delivered an end to end climate economics analytics pipeline from raw CSV to a management ready report using Random Forest models and calibrated confidence statements. Comfortable across Python, SQL, Tableau and Excel for business facing reporting.</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Fast Food Nutritional Analyzer and Meal Simulator</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For a Tableau dashboard project where users needed to explore fast food nutrition and simulate a meal rather than just filter charts, tasked with the interaction layer, built a dynamic shopping cart using Tableau Set Actions so end users can select scatter plot points and instantly total the 3 key macros calories, fat and protein for a simulated meal.</w:t>
      </w:r>
    </w:p>
    <w:p>
      <w:pPr>
        <w:spacing w:before="0" w:after="0" w:line="276" w:lineRule="auto"/>
        <w:ind w:left="283" w:hanging="170"/>
        <w:jc w:val="both"/>
      </w:pPr>
      <w:r>
        <w:rPr>
          <w:b/>
          <w:color w:val="B8663F"/>
          <w:sz w:val="21"/>
        </w:rPr>
        <w:t xml:space="preserve">• </w:t>
      </w:r>
      <w:r>
        <w:rPr>
          <w:b w:val="0"/>
          <w:color w:val="1F2937"/>
          <w:sz w:val="21"/>
        </w:rPr>
        <w:t>With 1 static Y axis being unable to serve both a muscle gain and a weight loss goal, tasked with letting the viewer switch objective without reloading, implemented parameter driven analytics with a dynamic Y axis tied to a user controlled goal parameter using a CASE statement, which produced consistent axis switching across 2 objectives without dashboard reloads.</w:t>
      </w:r>
    </w:p>
    <w:p>
      <w:pPr>
        <w:spacing w:before="20" w:after="0"/>
      </w:pPr>
      <w:r>
        <w:rPr>
          <w:b/>
          <w:color w:val="B8663F"/>
          <w:sz w:val="19"/>
        </w:rPr>
        <w:t xml:space="preserve">Technologies: </w:t>
      </w:r>
      <w:r>
        <w:rPr>
          <w:i/>
          <w:color w:val="6C7A93"/>
          <w:sz w:val="19"/>
        </w:rPr>
        <w:t>Tableau with Set Actions, parameters and calculated fields, data storytelling and UI or UX</w:t>
      </w:r>
    </w:p>
    <w:p>
      <w:pPr>
        <w:spacing w:before="10" w:after="0"/>
      </w:pPr>
      <w:r>
        <w:rPr>
          <w:b/>
          <w:color w:val="B8663F"/>
          <w:sz w:val="19"/>
        </w:rPr>
        <w:t xml:space="preserve">Live: </w:t>
      </w:r>
      <w:r>
        <w:rPr>
          <w:i/>
          <w:color w:val="6C7A93"/>
          <w:sz w:val="19"/>
        </w:rPr>
        <w:t>public.tableau.com/shared/YC6Y4ZBM5</w:t>
      </w:r>
    </w:p>
    <w:p>
      <w:pPr>
        <w:keepNext/>
        <w:spacing w:before="20" w:after="0"/>
        <w:pBdr>
          <w:bottom w:val="single" w:sz="6" w:space="1" w:color="B7C0CE"/>
        </w:pBdr>
      </w:pPr>
      <w:r>
        <w:rPr>
          <w:b/>
          <w:color w:val="1F3A5F"/>
          <w:sz w:val="21"/>
        </w:rPr>
        <w:t>R E S E A R C H   A N D   T H E S I S</w:t>
      </w:r>
    </w:p>
    <w:p>
      <w:pPr>
        <w:keepNext/>
        <w:spacing w:before="40" w:after="0" w:line="276" w:lineRule="auto"/>
      </w:pPr>
      <w:r>
        <w:rPr>
          <w:b/>
          <w:color w:val="1F3A5F"/>
          <w:sz w:val="22"/>
        </w:rPr>
        <w:t>Bachelor Thesis, Diabetes Prediction Using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For a Bachelor thesis on diabetes prediction with a small clinical dataset of </w:t>
      </w:r>
      <w:r>
        <w:rPr>
          <w:b/>
          <w:color w:val="1F3A5F"/>
          <w:sz w:val="21"/>
        </w:rPr>
        <w:t>768 patients</w:t>
      </w:r>
      <w:r>
        <w:rPr>
          <w:b w:val="0"/>
          <w:color w:val="1F2937"/>
          <w:sz w:val="21"/>
        </w:rPr>
        <w:t xml:space="preserve">, tasked with building a defensible model comparison the examiners could audit, built a full end to end machine learning pipeline comparing six classifiers with </w:t>
      </w:r>
      <w:r>
        <w:rPr>
          <w:b/>
          <w:color w:val="1F3A5F"/>
          <w:sz w:val="21"/>
        </w:rPr>
        <w:t>10 fold</w:t>
      </w:r>
      <w:r>
        <w:rPr>
          <w:b w:val="0"/>
          <w:color w:val="1F2937"/>
          <w:sz w:val="21"/>
        </w:rPr>
        <w:t xml:space="preserve"> cross validation and per model confusion matrices, delivering a model comparison that stood up in the thesis defence.</w:t>
      </w:r>
    </w:p>
    <w:p>
      <w:pPr>
        <w:spacing w:before="0" w:after="0" w:line="276" w:lineRule="auto"/>
        <w:ind w:left="283" w:hanging="170"/>
        <w:jc w:val="both"/>
      </w:pPr>
      <w:r>
        <w:rPr>
          <w:b/>
          <w:color w:val="B8663F"/>
          <w:sz w:val="21"/>
        </w:rPr>
        <w:t xml:space="preserve">• </w:t>
      </w:r>
      <w:r>
        <w:rPr>
          <w:b w:val="0"/>
          <w:color w:val="1F2937"/>
          <w:sz w:val="21"/>
        </w:rPr>
        <w:t>Spotting biologically impossible zero values in the source data that the original authors had overlooked, tasked with restoring data integrity before any model fit, applied IQR based outlier removal and proper imputation, which lifted the dataset from silently broken to a clean training input for every downstream model.</w:t>
      </w:r>
    </w:p>
    <w:p>
      <w:pPr>
        <w:spacing w:before="0" w:after="0" w:line="276" w:lineRule="auto"/>
        <w:ind w:left="283" w:hanging="170"/>
        <w:jc w:val="both"/>
      </w:pPr>
      <w:r>
        <w:rPr>
          <w:b/>
          <w:color w:val="B8663F"/>
          <w:sz w:val="21"/>
        </w:rPr>
        <w:t xml:space="preserve">• </w:t>
      </w:r>
      <w:r>
        <w:rPr>
          <w:b w:val="0"/>
          <w:color w:val="1F2937"/>
          <w:sz w:val="21"/>
        </w:rPr>
        <w:t xml:space="preserve">With a </w:t>
      </w:r>
      <w:r>
        <w:rPr>
          <w:b/>
          <w:color w:val="1F3A5F"/>
          <w:sz w:val="21"/>
        </w:rPr>
        <w:t>65 to 35 class</w:t>
      </w:r>
      <w:r>
        <w:rPr>
          <w:b w:val="0"/>
          <w:color w:val="1F2937"/>
          <w:sz w:val="21"/>
        </w:rPr>
        <w:t xml:space="preserve"> imbalance that made accuracy a misleading headline metric, tasked with choosing an evaluation that would not hide errors on the minority class, moved the headline metric from accuracy to ROC AUC, which exposed the real error patterns the accuracy score had been masking and gave the thesis an honest performance comparison.</w:t>
      </w:r>
    </w:p>
    <w:p>
      <w:pPr>
        <w:spacing w:before="0" w:after="0" w:line="276" w:lineRule="auto"/>
        <w:ind w:left="283" w:hanging="170"/>
        <w:jc w:val="both"/>
      </w:pPr>
      <w:r>
        <w:rPr>
          <w:b/>
          <w:color w:val="B8663F"/>
          <w:sz w:val="21"/>
        </w:rPr>
        <w:t xml:space="preserve">• </w:t>
      </w:r>
      <w:r>
        <w:rPr>
          <w:b w:val="0"/>
          <w:color w:val="1F2937"/>
          <w:sz w:val="21"/>
        </w:rPr>
        <w:t>With the results needing to be publishable in substance rather than just submissible, tasked with writing them up formally, produced an IEEE style paper including an honest limitations section and what to do differently in a follow up study, which the supervisor accepted as publishable in substance.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SAS Certified Specialist: Visual Business Analytics Using SAS Viya, issued May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