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1F3A5F"/>
          <w:sz w:val="40"/>
        </w:rPr>
        <w:t>Rahul Rawat</w:t>
      </w:r>
    </w:p>
    <w:p>
      <w:pPr>
        <w:spacing w:before="0" w:after="20" w:line="240" w:lineRule="auto"/>
        <w:pBdr>
          <w:bottom w:val="single" w:sz="6" w:space="1" w:color="1F3A5F"/>
        </w:pBdr>
      </w:pPr>
      <w:r>
        <w:rPr>
          <w:color w:val="6C7A93"/>
          <w:sz w:val="21"/>
        </w:rPr>
        <w:t>Flexikum, Data und AI im Financial Controlling</w:t>
      </w:r>
    </w:p>
    <w:p>
      <w:pPr>
        <w:keepNext/>
        <w:spacing w:before="20" w:after="0"/>
        <w:pBdr>
          <w:bottom w:val="single" w:sz="6" w:space="1" w:color="B7C0CE"/>
        </w:pBdr>
      </w:pPr>
      <w:r>
        <w:rPr>
          <w:b/>
          <w:color w:val="1F3A5F"/>
          <w:sz w:val="21"/>
        </w:rPr>
        <w:t>P E R S Ö N L I C H E   D A T E N</w:t>
      </w:r>
    </w:p>
    <w:p>
      <w:pPr>
        <w:spacing w:before="0" w:after="0" w:line="276" w:lineRule="auto"/>
      </w:pPr>
      <w:r>
        <w:rPr>
          <w:b/>
          <w:color w:val="1F3A5F"/>
          <w:sz w:val="21"/>
        </w:rPr>
        <w:t xml:space="preserve">Adresse: </w:t>
      </w:r>
      <w:r>
        <w:rPr>
          <w:color w:val="1F2937"/>
          <w:sz w:val="21"/>
        </w:rPr>
        <w:t>C2 16, 68159 Mannheim, Deutschland</w:t>
      </w:r>
    </w:p>
    <w:p>
      <w:pPr>
        <w:spacing w:before="0" w:after="0" w:line="276" w:lineRule="auto"/>
      </w:pPr>
      <w:r>
        <w:rPr>
          <w:b/>
          <w:color w:val="1F3A5F"/>
          <w:sz w:val="21"/>
        </w:rPr>
        <w:t xml:space="preserve">Telefon: </w:t>
      </w:r>
      <w:r>
        <w:rPr>
          <w:color w:val="1F2937"/>
          <w:sz w:val="21"/>
        </w:rPr>
        <w:t>015563603340</w:t>
      </w:r>
    </w:p>
    <w:p>
      <w:pPr>
        <w:spacing w:before="0" w:after="0" w:line="276" w:lineRule="auto"/>
      </w:pPr>
      <w:r>
        <w:rPr>
          <w:b/>
          <w:color w:val="1F3A5F"/>
          <w:sz w:val="21"/>
        </w:rPr>
        <w:t xml:space="preserve">E-Mail: </w:t>
      </w:r>
      <w:r>
        <w:rPr>
          <w:color w:val="1F2937"/>
          <w:sz w:val="21"/>
        </w:rPr>
        <w:t>rahulrawat2r@gmail.com</w:t>
      </w:r>
    </w:p>
    <w:p>
      <w:pPr>
        <w:spacing w:before="0" w:after="0" w:line="276" w:lineRule="auto"/>
      </w:pPr>
      <w:r>
        <w:rPr>
          <w:b/>
          <w:color w:val="1F3A5F"/>
          <w:sz w:val="21"/>
        </w:rPr>
        <w:t xml:space="preserve">LinkedIn: </w:t>
      </w:r>
      <w:r>
        <w:rPr>
          <w:color w:val="1F2937"/>
          <w:sz w:val="21"/>
        </w:rPr>
        <w:t>linkedin.com/in/rahulrawat2r</w:t>
      </w:r>
    </w:p>
    <w:p>
      <w:pPr>
        <w:spacing w:before="0" w:after="0" w:line="276" w:lineRule="auto"/>
      </w:pPr>
      <w:r>
        <w:rPr>
          <w:b/>
          <w:color w:val="1F3A5F"/>
          <w:sz w:val="21"/>
        </w:rPr>
        <w:t xml:space="preserve">GitHub: </w:t>
      </w:r>
      <w:r>
        <w:rPr>
          <w:color w:val="1F2937"/>
          <w:sz w:val="21"/>
        </w:rPr>
        <w:t>github.com/rahulrawat20022002</w:t>
      </w:r>
    </w:p>
    <w:p>
      <w:pPr>
        <w:spacing w:before="0" w:after="0" w:line="276" w:lineRule="auto"/>
      </w:pPr>
      <w:r>
        <w:rPr>
          <w:b/>
          <w:color w:val="1F3A5F"/>
          <w:sz w:val="21"/>
        </w:rPr>
        <w:t xml:space="preserve">Portfolio: </w:t>
      </w:r>
      <w:r>
        <w:rPr>
          <w:color w:val="1F2937"/>
          <w:sz w:val="21"/>
        </w:rPr>
        <w:t>rah-portfolio.pages.dev</w:t>
      </w:r>
    </w:p>
    <w:p>
      <w:pPr>
        <w:spacing w:before="0" w:after="0" w:line="276" w:lineRule="auto"/>
      </w:pPr>
      <w:r>
        <w:rPr>
          <w:b/>
          <w:color w:val="1F3A5F"/>
          <w:sz w:val="21"/>
        </w:rPr>
        <w:t xml:space="preserve">Geburtsdatum: </w:t>
      </w:r>
      <w:r>
        <w:rPr>
          <w:color w:val="1F2937"/>
          <w:sz w:val="21"/>
        </w:rPr>
        <w:t>20 February 2002</w:t>
      </w:r>
    </w:p>
    <w:p>
      <w:pPr>
        <w:spacing w:before="0" w:after="0" w:line="276" w:lineRule="auto"/>
      </w:pPr>
      <w:r>
        <w:rPr>
          <w:b/>
          <w:color w:val="1F3A5F"/>
          <w:sz w:val="21"/>
        </w:rPr>
        <w:t xml:space="preserve">Nationalität: </w:t>
      </w:r>
      <w:r>
        <w:rPr>
          <w:color w:val="1F2937"/>
          <w:sz w:val="21"/>
        </w:rPr>
        <w:t>Indisch, Studentenvisum mit gültiger Arbeitserlaubnis</w:t>
      </w:r>
    </w:p>
    <w:p>
      <w:pPr>
        <w:spacing w:before="0" w:after="0" w:line="276" w:lineRule="auto"/>
      </w:pPr>
      <w:r>
        <w:rPr>
          <w:b/>
          <w:color w:val="1F3A5F"/>
          <w:sz w:val="21"/>
        </w:rPr>
        <w:t xml:space="preserve">Verfügbarkeit: </w:t>
      </w:r>
      <w:r>
        <w:rPr>
          <w:color w:val="1F2937"/>
          <w:sz w:val="21"/>
        </w:rPr>
        <w:t>Werkstudent 20 Stunden pro Woche sofort, Vollzeit ab April 2027</w:t>
      </w:r>
    </w:p>
    <w:p>
      <w:pPr>
        <w:keepNext/>
        <w:spacing w:before="20" w:after="0"/>
        <w:pBdr>
          <w:bottom w:val="single" w:sz="6" w:space="1" w:color="B7C0CE"/>
        </w:pBdr>
      </w:pPr>
      <w:r>
        <w:rPr>
          <w:b/>
          <w:color w:val="1F3A5F"/>
          <w:sz w:val="21"/>
        </w:rPr>
        <w:t>P R O F I L</w:t>
      </w:r>
    </w:p>
    <w:p>
      <w:pPr>
        <w:spacing w:before="0" w:after="0" w:line="288" w:lineRule="auto"/>
        <w:jc w:val="both"/>
      </w:pPr>
      <w:r>
        <w:rPr>
          <w:b w:val="0"/>
          <w:color w:val="1F2937"/>
          <w:sz w:val="21"/>
        </w:rPr>
        <w:t>Masterstudent der Data Science and Analytics an der SRH Heidelberg mit Sitz in Mannheim und praktischer Erfahrung im Aufbau von Predictive Analytics Modellen, BI Dashboards und KI Werkzeugen in regulierten und finanznahen Kontexten. Ich habe in CreditIQ ein Kredit Scoring System unter EU AI Act Konformitaet gebaut, das als Streamlit Entscheidungsunterstuetzung mit einer plain language LLM generierten Erklaerung laeuft, und in einer Random Forest gestuetzten Wirtschaftsanalyse globaler Klimaereignisse Risiko Konzentrationen fuer die Ressourcenallokation transparent gemacht. Sicher in Python, SQL, scikit-learn, Power BI, Tableau, Looker Studio und in den ueblichen Cloud Stacks AWS und GCP.</w:t>
      </w:r>
    </w:p>
    <w:p>
      <w:pPr>
        <w:keepNext/>
        <w:spacing w:before="20" w:after="0"/>
        <w:pBdr>
          <w:bottom w:val="single" w:sz="6" w:space="1" w:color="B7C0CE"/>
        </w:pBdr>
      </w:pPr>
      <w:r>
        <w:rPr>
          <w:b/>
          <w:color w:val="1F3A5F"/>
          <w:sz w:val="21"/>
        </w:rPr>
        <w:t>F Ä H I G K E I T E N</w:t>
      </w:r>
    </w:p>
    <w:p>
      <w:pPr>
        <w:spacing w:before="0" w:after="0" w:line="300" w:lineRule="auto"/>
        <w:jc w:val="left"/>
      </w:pPr>
      <w:r>
        <w:rPr>
          <w:color w:val="1F2937"/>
          <w:sz w:val="21"/>
        </w:rPr>
        <w:t>Python, SQL, PySpark, BigQuery, Databricks, Delta Lake, Power BI, Tableau, Looker Studio, LangChain, LangGraph, Ollama, CatBoost, LightGBM, XGBoost, Prophet, MICE, scikit-learn, PyTorch, dbt, Apache Airflow, GCP, AWS, Docker, Git, React, Playwright</w:t>
      </w:r>
    </w:p>
    <w:p>
      <w:pPr>
        <w:keepNext/>
        <w:spacing w:before="20" w:after="0"/>
        <w:pBdr>
          <w:bottom w:val="single" w:sz="6" w:space="1" w:color="B7C0CE"/>
        </w:pBdr>
      </w:pPr>
      <w:r>
        <w:rPr>
          <w:b/>
          <w:color w:val="1F3A5F"/>
          <w:sz w:val="21"/>
        </w:rPr>
        <w:t>B E R U F S E R F A H R U N G</w:t>
      </w:r>
    </w:p>
    <w:p>
      <w:pPr>
        <w:keepNext/>
        <w:spacing w:before="40" w:after="0" w:line="276" w:lineRule="auto"/>
      </w:pPr>
      <w:r>
        <w:rPr>
          <w:b/>
          <w:color w:val="1F3A5F"/>
          <w:sz w:val="22"/>
        </w:rPr>
        <w:t>eRay GmbH</w:t>
      </w:r>
    </w:p>
    <w:p>
      <w:pPr>
        <w:keepNext/>
        <w:spacing w:before="0" w:after="0" w:line="276" w:lineRule="auto"/>
      </w:pPr>
      <w:r>
        <w:rPr>
          <w:i/>
          <w:color w:val="6C7A93"/>
          <w:sz w:val="20"/>
        </w:rPr>
        <w:t>Data Scientist · Heidelberg · Okt 2025 bis Mrz 2026</w:t>
      </w:r>
    </w:p>
    <w:p>
      <w:pPr>
        <w:spacing w:before="0" w:after="0" w:line="276" w:lineRule="auto"/>
        <w:ind w:left="283" w:hanging="170"/>
        <w:jc w:val="both"/>
      </w:pPr>
      <w:r>
        <w:rPr>
          <w:b/>
          <w:color w:val="B8663F"/>
          <w:sz w:val="21"/>
        </w:rPr>
        <w:t xml:space="preserve">• </w:t>
      </w:r>
      <w:r>
        <w:rPr>
          <w:b w:val="0"/>
          <w:color w:val="1F2937"/>
          <w:sz w:val="21"/>
        </w:rPr>
        <w:t xml:space="preserve">In einer </w:t>
      </w:r>
      <w:r>
        <w:rPr>
          <w:b/>
          <w:color w:val="1F3A5F"/>
          <w:sz w:val="21"/>
        </w:rPr>
        <w:t>6 monat</w:t>
      </w:r>
      <w:r>
        <w:rPr>
          <w:b w:val="0"/>
          <w:color w:val="1F2937"/>
          <w:sz w:val="21"/>
        </w:rPr>
        <w:t xml:space="preserve">igen Zusammenarbeit zwischen eRay GmbH und SRH Hochschule Heidelberg zur Prognose der Seewasserqualität über </w:t>
      </w:r>
      <w:r>
        <w:rPr>
          <w:b/>
          <w:color w:val="1F3A5F"/>
          <w:sz w:val="21"/>
        </w:rPr>
        <w:t>4 Ziel</w:t>
      </w:r>
      <w:r>
        <w:rPr>
          <w:b w:val="0"/>
          <w:color w:val="1F2937"/>
          <w:sz w:val="21"/>
        </w:rPr>
        <w:t xml:space="preserve"> Indikatoren Chlorophyll a, Trübung, pH und gelösten Sauerstoff wurde eine end to end rekursive Zeitreihen Pipeline über einen </w:t>
      </w:r>
      <w:r>
        <w:rPr>
          <w:b/>
          <w:color w:val="1F3A5F"/>
          <w:sz w:val="21"/>
        </w:rPr>
        <w:t>40 Feature</w:t>
      </w:r>
      <w:r>
        <w:rPr>
          <w:b w:val="0"/>
          <w:color w:val="1F2937"/>
          <w:sz w:val="21"/>
        </w:rPr>
        <w:t xml:space="preserve"> Raum mit einem Ziel Lag Set lag_1h, lag_24h, lag_3d, lag_7d, lag_roll_mean_24h und lag_roll_std_24h aufgebaut.</w:t>
      </w:r>
    </w:p>
    <w:p>
      <w:pPr>
        <w:spacing w:before="0" w:after="0" w:line="276" w:lineRule="auto"/>
        <w:ind w:left="283" w:hanging="170"/>
        <w:jc w:val="both"/>
      </w:pPr>
      <w:r>
        <w:rPr>
          <w:b/>
          <w:color w:val="B8663F"/>
          <w:sz w:val="21"/>
        </w:rPr>
        <w:t xml:space="preserve">• </w:t>
      </w:r>
      <w:r>
        <w:rPr>
          <w:b w:val="0"/>
          <w:color w:val="1F2937"/>
          <w:sz w:val="21"/>
        </w:rPr>
        <w:t xml:space="preserve">Es wurden </w:t>
      </w:r>
      <w:r>
        <w:rPr>
          <w:b/>
          <w:color w:val="1F3A5F"/>
          <w:sz w:val="21"/>
        </w:rPr>
        <w:t>6 Kandidaten</w:t>
      </w:r>
      <w:r>
        <w:rPr>
          <w:b w:val="0"/>
          <w:color w:val="1F2937"/>
          <w:sz w:val="21"/>
        </w:rPr>
        <w:t xml:space="preserve"> direkt verglichen Ridge, Gradient Boosting, LightGBM, XGBoost, CatBoost und Prophet mit strikten Tree Einschränkungen max_depth 4 und learning_rate </w:t>
      </w:r>
      <w:r>
        <w:rPr>
          <w:b/>
          <w:color w:val="1F3A5F"/>
          <w:sz w:val="21"/>
        </w:rPr>
        <w:t>0.05</w:t>
      </w:r>
      <w:r>
        <w:rPr>
          <w:b w:val="0"/>
          <w:color w:val="1F2937"/>
          <w:sz w:val="21"/>
        </w:rPr>
        <w:t xml:space="preserve">, die Entscheidung fiel auf CatBoost MultiQuantile bei alpha </w:t>
      </w:r>
      <w:r>
        <w:rPr>
          <w:b/>
          <w:color w:val="1F3A5F"/>
          <w:sz w:val="21"/>
        </w:rPr>
        <w:t>0.05</w:t>
      </w:r>
      <w:r>
        <w:rPr>
          <w:b w:val="0"/>
          <w:color w:val="1F2937"/>
          <w:sz w:val="21"/>
        </w:rPr>
        <w:t xml:space="preserve">, </w:t>
      </w:r>
      <w:r>
        <w:rPr>
          <w:b/>
          <w:color w:val="1F3A5F"/>
          <w:sz w:val="21"/>
        </w:rPr>
        <w:t>0.5</w:t>
      </w:r>
      <w:r>
        <w:rPr>
          <w:b w:val="0"/>
          <w:color w:val="1F2937"/>
          <w:sz w:val="21"/>
        </w:rPr>
        <w:t xml:space="preserve"> und </w:t>
      </w:r>
      <w:r>
        <w:rPr>
          <w:b/>
          <w:color w:val="1F3A5F"/>
          <w:sz w:val="21"/>
        </w:rPr>
        <w:t>0.85</w:t>
      </w:r>
      <w:r>
        <w:rPr>
          <w:b w:val="0"/>
          <w:color w:val="1F2937"/>
          <w:sz w:val="21"/>
        </w:rPr>
        <w:t xml:space="preserve">, was asymmetrische </w:t>
      </w:r>
      <w:r>
        <w:rPr>
          <w:b/>
          <w:color w:val="1F3A5F"/>
          <w:sz w:val="21"/>
        </w:rPr>
        <w:t>80 Prozent</w:t>
      </w:r>
      <w:r>
        <w:rPr>
          <w:b w:val="0"/>
          <w:color w:val="1F2937"/>
          <w:sz w:val="21"/>
        </w:rPr>
        <w:t xml:space="preserve"> Vorhersageintervalle lieferte, die den 0 Boden umarmen und die oberen </w:t>
      </w:r>
      <w:r>
        <w:rPr>
          <w:b/>
          <w:color w:val="1F3A5F"/>
          <w:sz w:val="21"/>
        </w:rPr>
        <w:t>15 Prozent</w:t>
      </w:r>
      <w:r>
        <w:rPr>
          <w:b w:val="0"/>
          <w:color w:val="1F2937"/>
          <w:sz w:val="21"/>
        </w:rPr>
        <w:t xml:space="preserve"> der Sommer Ghost Spikes abschneiden.</w:t>
      </w:r>
    </w:p>
    <w:p>
      <w:pPr>
        <w:spacing w:before="0" w:after="0" w:line="276" w:lineRule="auto"/>
        <w:ind w:left="283" w:hanging="170"/>
        <w:jc w:val="both"/>
      </w:pPr>
      <w:r>
        <w:rPr>
          <w:b/>
          <w:color w:val="B8663F"/>
          <w:sz w:val="21"/>
        </w:rPr>
        <w:t xml:space="preserve">• </w:t>
      </w:r>
      <w:r>
        <w:rPr>
          <w:b w:val="0"/>
          <w:color w:val="1F2937"/>
          <w:sz w:val="21"/>
        </w:rPr>
        <w:t xml:space="preserve">Die September Evaluation wurde belastbar gemacht mit einem </w:t>
      </w:r>
      <w:r>
        <w:rPr>
          <w:b/>
          <w:color w:val="1F3A5F"/>
          <w:sz w:val="21"/>
        </w:rPr>
        <w:t>3 Pass</w:t>
      </w:r>
      <w:r>
        <w:rPr>
          <w:b w:val="0"/>
          <w:color w:val="1F2937"/>
          <w:sz w:val="21"/>
        </w:rPr>
        <w:t xml:space="preserve"> Outlier System pH verengt von </w:t>
      </w:r>
      <w:r>
        <w:rPr>
          <w:b/>
          <w:color w:val="1F3A5F"/>
          <w:sz w:val="21"/>
        </w:rPr>
        <w:t>0 bis 14</w:t>
      </w:r>
      <w:r>
        <w:rPr>
          <w:b w:val="0"/>
          <w:color w:val="1F2937"/>
          <w:sz w:val="21"/>
        </w:rPr>
        <w:t xml:space="preserve"> auf </w:t>
      </w:r>
      <w:r>
        <w:rPr>
          <w:b/>
          <w:color w:val="1F3A5F"/>
          <w:sz w:val="21"/>
        </w:rPr>
        <w:t>7.0 bis 9.0</w:t>
      </w:r>
      <w:r>
        <w:rPr>
          <w:b w:val="0"/>
          <w:color w:val="1F2937"/>
          <w:sz w:val="21"/>
        </w:rPr>
        <w:t xml:space="preserve">, Oct und Nov Caps von </w:t>
      </w:r>
      <w:r>
        <w:rPr>
          <w:b/>
          <w:color w:val="1F3A5F"/>
          <w:sz w:val="21"/>
        </w:rPr>
        <w:t>15.0</w:t>
      </w:r>
      <w:r>
        <w:rPr>
          <w:b w:val="0"/>
          <w:color w:val="1F2937"/>
          <w:sz w:val="21"/>
        </w:rPr>
        <w:t xml:space="preserve"> bei Chlorophyll a und </w:t>
      </w:r>
      <w:r>
        <w:rPr>
          <w:b/>
          <w:color w:val="1F3A5F"/>
          <w:sz w:val="21"/>
        </w:rPr>
        <w:t>50.0</w:t>
      </w:r>
      <w:r>
        <w:rPr>
          <w:b w:val="0"/>
          <w:color w:val="1F2937"/>
          <w:sz w:val="21"/>
        </w:rPr>
        <w:t xml:space="preserve"> bei Trübung, ein rollender z-score bei z&gt;</w:t>
      </w:r>
      <w:r>
        <w:rPr>
          <w:b/>
          <w:color w:val="1F3A5F"/>
          <w:sz w:val="21"/>
        </w:rPr>
        <w:t>2.5</w:t>
      </w:r>
      <w:r>
        <w:rPr>
          <w:b w:val="0"/>
          <w:color w:val="1F2937"/>
          <w:sz w:val="21"/>
        </w:rPr>
        <w:t xml:space="preserve"> über </w:t>
      </w:r>
      <w:r>
        <w:rPr>
          <w:b/>
          <w:color w:val="1F3A5F"/>
          <w:sz w:val="21"/>
        </w:rPr>
        <w:t>48 Stunden</w:t>
      </w:r>
      <w:r>
        <w:rPr>
          <w:b w:val="0"/>
          <w:color w:val="1F2937"/>
          <w:sz w:val="21"/>
        </w:rPr>
        <w:t xml:space="preserve">, und 5 spärliche Sensoren plus 3 zeitgleiche Proxies phycocyanin_abs, phycocyanin_abs_comp und toc wurden ausgeschlossen, was die ehrliche R quadrat Aufteilung von </w:t>
      </w:r>
      <w:r>
        <w:rPr>
          <w:b/>
          <w:color w:val="1F3A5F"/>
          <w:sz w:val="21"/>
        </w:rPr>
        <w:t>0.86</w:t>
      </w:r>
      <w:r>
        <w:rPr>
          <w:b w:val="0"/>
          <w:color w:val="1F2937"/>
          <w:sz w:val="21"/>
        </w:rPr>
        <w:t xml:space="preserve"> bei gelöstem Sauerstoff und </w:t>
      </w:r>
      <w:r>
        <w:rPr>
          <w:b/>
          <w:color w:val="1F3A5F"/>
          <w:sz w:val="21"/>
        </w:rPr>
        <w:t>0.81</w:t>
      </w:r>
      <w:r>
        <w:rPr>
          <w:b w:val="0"/>
          <w:color w:val="1F2937"/>
          <w:sz w:val="21"/>
        </w:rPr>
        <w:t xml:space="preserve"> bei pH offenlegte.</w:t>
      </w:r>
    </w:p>
    <w:p>
      <w:pPr>
        <w:spacing w:before="0" w:after="0" w:line="276" w:lineRule="auto"/>
        <w:ind w:left="283" w:hanging="170"/>
        <w:jc w:val="both"/>
      </w:pPr>
      <w:r>
        <w:rPr>
          <w:b/>
          <w:color w:val="B8663F"/>
          <w:sz w:val="21"/>
        </w:rPr>
        <w:t xml:space="preserve">• </w:t>
      </w:r>
      <w:r>
        <w:rPr>
          <w:b w:val="0"/>
          <w:color w:val="1F2937"/>
          <w:sz w:val="21"/>
        </w:rPr>
        <w:t xml:space="preserve">Oct und Nov Lücken wurden mit IterativeImputer MICE rekonstruiert, eine vollständige Memory Buffer Neuberechnung über alle 6 Lag Features durchgeführt, ein synthetisches Winter Canvas mit 4 Grad Celsius Boden und </w:t>
      </w:r>
      <w:r>
        <w:rPr>
          <w:b/>
          <w:color w:val="1F3A5F"/>
          <w:sz w:val="21"/>
        </w:rPr>
        <w:t>0.4</w:t>
      </w:r>
      <w:r>
        <w:rPr>
          <w:b w:val="0"/>
          <w:color w:val="1F2937"/>
          <w:sz w:val="21"/>
        </w:rPr>
        <w:t xml:space="preserve"> Grad diurnaler Amplitude generiert und das Ganze in einen Orchestrator mit Gate Checks, ökologischen Clips gelöster Sauerstoff </w:t>
      </w:r>
      <w:r>
        <w:rPr>
          <w:b/>
          <w:color w:val="1F3A5F"/>
          <w:sz w:val="21"/>
        </w:rPr>
        <w:t>4.0 bis 18.0</w:t>
      </w:r>
      <w:r>
        <w:rPr>
          <w:b w:val="0"/>
          <w:color w:val="1F2937"/>
          <w:sz w:val="21"/>
        </w:rPr>
        <w:t xml:space="preserve"> und pH </w:t>
      </w:r>
      <w:r>
        <w:rPr>
          <w:b/>
          <w:color w:val="1F3A5F"/>
          <w:sz w:val="21"/>
        </w:rPr>
        <w:t>6.0 bis 9.0</w:t>
      </w:r>
      <w:r>
        <w:rPr>
          <w:b w:val="0"/>
          <w:color w:val="1F2937"/>
          <w:sz w:val="21"/>
        </w:rPr>
        <w:t xml:space="preserve"> und einem </w:t>
      </w:r>
      <w:r>
        <w:rPr>
          <w:b/>
          <w:color w:val="1F3A5F"/>
          <w:sz w:val="21"/>
        </w:rPr>
        <w:t>0.003</w:t>
      </w:r>
      <w:r>
        <w:rPr>
          <w:b w:val="0"/>
          <w:color w:val="1F2937"/>
          <w:sz w:val="21"/>
        </w:rPr>
        <w:t xml:space="preserve"> pH pro Stunde Velocity Clamp eingebettet.</w:t>
      </w:r>
    </w:p>
    <w:p>
      <w:pPr>
        <w:spacing w:before="20" w:after="0"/>
      </w:pPr>
      <w:r>
        <w:rPr>
          <w:b/>
          <w:color w:val="B8663F"/>
          <w:sz w:val="19"/>
        </w:rPr>
        <w:t xml:space="preserve">Technologies: </w:t>
      </w:r>
      <w:r>
        <w:rPr>
          <w:i/>
          <w:color w:val="6C7A93"/>
          <w:sz w:val="19"/>
        </w:rPr>
        <w:t>Python, CatBoost, Prophet, scikit learn, MICE</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Junior Associate Software Developer · India · Aug 2023 bis Aug 2024</w:t>
      </w:r>
    </w:p>
    <w:p>
      <w:pPr>
        <w:spacing w:before="0" w:after="0" w:line="276" w:lineRule="auto"/>
        <w:ind w:left="283" w:hanging="170"/>
        <w:jc w:val="both"/>
      </w:pPr>
      <w:r>
        <w:rPr>
          <w:b/>
          <w:color w:val="B8663F"/>
          <w:sz w:val="21"/>
        </w:rPr>
        <w:t xml:space="preserve">• </w:t>
      </w:r>
      <w:r>
        <w:rPr>
          <w:b w:val="0"/>
          <w:color w:val="1F2937"/>
          <w:sz w:val="21"/>
        </w:rPr>
        <w:t>Da SS Engineers and Contractors interne Data Dashboards, Analytics Plattformen und Mitarbeiter Portale betreibt, die unternehmensweit genutzt werden, mit dem Auftrag die Frontend Features zu bauen und zu pflegen, auf die die Teams im Alltag angewiesen sind, wurden React UI Komponenten in allen drei internen Produkten beigetragen, die während des gesamten Jahres in der Rolle im täglichen Einsatz der internen Teams blieben.</w:t>
      </w:r>
    </w:p>
    <w:p>
      <w:pPr>
        <w:spacing w:before="0" w:after="0" w:line="276" w:lineRule="auto"/>
        <w:ind w:left="283" w:hanging="170"/>
        <w:jc w:val="both"/>
      </w:pPr>
      <w:r>
        <w:rPr>
          <w:b/>
          <w:color w:val="B8663F"/>
          <w:sz w:val="21"/>
        </w:rPr>
        <w:t xml:space="preserve">• </w:t>
      </w:r>
      <w:r>
        <w:rPr>
          <w:b w:val="0"/>
          <w:color w:val="1F2937"/>
          <w:sz w:val="21"/>
        </w:rPr>
        <w:t xml:space="preserve">Bei einem Kunden, dessen Legacy AngularJS Anwendung in einem bestehenden Module Federation Setup neben neueren React Micro Frontends laufen sollte, mit dem Auftrag die Screens des Kunden zu portieren ohne das laufende Produkt zu brechen, wurden rund </w:t>
      </w:r>
      <w:r>
        <w:rPr>
          <w:b/>
          <w:color w:val="1F3A5F"/>
          <w:sz w:val="21"/>
        </w:rPr>
        <w:t>8 Routen</w:t>
      </w:r>
      <w:r>
        <w:rPr>
          <w:b w:val="0"/>
          <w:color w:val="1F2937"/>
          <w:sz w:val="21"/>
        </w:rPr>
        <w:t xml:space="preserve"> von AngularJS auf React innerhalb der Module Federation Shell portiert, ausgeliefert über </w:t>
      </w:r>
      <w:r>
        <w:rPr>
          <w:b/>
          <w:color w:val="1F3A5F"/>
          <w:sz w:val="21"/>
        </w:rPr>
        <w:t>4 Monate</w:t>
      </w:r>
      <w:r>
        <w:rPr>
          <w:b w:val="0"/>
          <w:color w:val="1F2937"/>
          <w:sz w:val="21"/>
        </w:rPr>
        <w:t xml:space="preserve"> in schrittweisen Releases und ohne Produktionsausfälle während des Rollouts eingespielt.</w:t>
      </w:r>
    </w:p>
    <w:p>
      <w:pPr>
        <w:spacing w:before="20" w:after="0"/>
      </w:pPr>
      <w:r>
        <w:rPr>
          <w:b/>
          <w:color w:val="B8663F"/>
          <w:sz w:val="19"/>
        </w:rPr>
        <w:t xml:space="preserve">Technologies: </w:t>
      </w:r>
      <w:r>
        <w:rPr>
          <w:i/>
          <w:color w:val="6C7A93"/>
          <w:sz w:val="19"/>
        </w:rPr>
        <w:t>React, module federation, Playwright, AngularJS, HTML5, CSS3</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Front End Developer Intern · India · Feb 2023 bis Juli 2023</w:t>
      </w:r>
    </w:p>
    <w:p>
      <w:pPr>
        <w:spacing w:before="0" w:after="0" w:line="276" w:lineRule="auto"/>
        <w:ind w:left="283" w:hanging="170"/>
        <w:jc w:val="both"/>
      </w:pPr>
      <w:r>
        <w:rPr>
          <w:b/>
          <w:color w:val="B8663F"/>
          <w:sz w:val="21"/>
        </w:rPr>
        <w:t xml:space="preserve">• </w:t>
      </w:r>
      <w:r>
        <w:rPr>
          <w:b w:val="0"/>
          <w:color w:val="1F2937"/>
          <w:sz w:val="21"/>
        </w:rPr>
        <w:t>Während eines sechsmonatigen Praktikums bei SS Engineers and Contractors, mit dem Auftrag die Codebasis kennenzulernen und dann unter Senior Review kleinere UI Arbeiten in den internen Data Dashboards und Mitarbeiter Portalen zu übernehmen, wurde eng mit Senior Entwicklern durch die Codebasis gegangen und anschließend wurden fokussierte UI Komponenten wie Charts, Filter und Profilseiten geliefert, jede iterativ auf Basis von Code Review Feedback verbessert bis sie freigegeben war.</w:t>
      </w:r>
    </w:p>
    <w:p>
      <w:pPr>
        <w:spacing w:before="20" w:after="0"/>
      </w:pPr>
      <w:r>
        <w:rPr>
          <w:b/>
          <w:color w:val="B8663F"/>
          <w:sz w:val="19"/>
        </w:rPr>
        <w:t xml:space="preserve">Technologies: </w:t>
      </w:r>
      <w:r>
        <w:rPr>
          <w:i/>
          <w:color w:val="6C7A93"/>
          <w:sz w:val="19"/>
        </w:rPr>
        <w:t>React, HTML5, CSS3, Git, code review workflow</w:t>
      </w:r>
    </w:p>
    <w:p>
      <w:pPr>
        <w:keepNext/>
        <w:spacing w:before="20" w:after="0"/>
        <w:pBdr>
          <w:bottom w:val="single" w:sz="6" w:space="1" w:color="B7C0CE"/>
        </w:pBdr>
      </w:pPr>
      <w:r>
        <w:rPr>
          <w:b/>
          <w:color w:val="1F3A5F"/>
          <w:sz w:val="21"/>
        </w:rPr>
        <w:t>A U S B I L D U N G</w:t>
      </w:r>
    </w:p>
    <w:p>
      <w:pPr>
        <w:keepNext/>
        <w:spacing w:before="40" w:after="0" w:line="276" w:lineRule="auto"/>
      </w:pPr>
      <w:r>
        <w:rPr>
          <w:b/>
          <w:color w:val="1F3A5F"/>
          <w:sz w:val="22"/>
        </w:rPr>
        <w:t>M.Sc. Data Science and Analytics</w:t>
      </w:r>
    </w:p>
    <w:p>
      <w:pPr>
        <w:keepNext/>
        <w:spacing w:before="0" w:after="0" w:line="276" w:lineRule="auto"/>
      </w:pPr>
      <w:r>
        <w:rPr>
          <w:i/>
          <w:color w:val="6C7A93"/>
          <w:sz w:val="20"/>
        </w:rPr>
        <w:t>SRH University of Applied Sciences Heidelberg, GPA 1.9 · Heidelberg · Apr 2025 bis heute</w:t>
      </w:r>
    </w:p>
    <w:p>
      <w:pPr>
        <w:keepNext/>
        <w:spacing w:before="40" w:after="0" w:line="276" w:lineRule="auto"/>
      </w:pPr>
      <w:r>
        <w:rPr>
          <w:b/>
          <w:color w:val="1F3A5F"/>
          <w:sz w:val="22"/>
        </w:rPr>
        <w:t>Bachelor of Technology in Computer Science</w:t>
      </w:r>
    </w:p>
    <w:p>
      <w:pPr>
        <w:keepNext/>
        <w:spacing w:before="0" w:after="0" w:line="276" w:lineRule="auto"/>
      </w:pPr>
      <w:r>
        <w:rPr>
          <w:i/>
          <w:color w:val="6C7A93"/>
          <w:sz w:val="20"/>
        </w:rPr>
        <w:t>GL Bajaj Institute of Technology and Management, CGPA 7.3 of 10 · Greater Noida, India · 2019 to 2023</w:t>
      </w:r>
    </w:p>
    <w:p>
      <w:pPr>
        <w:keepNext/>
        <w:spacing w:before="20" w:after="0"/>
        <w:pBdr>
          <w:bottom w:val="single" w:sz="6" w:space="1" w:color="B7C0CE"/>
        </w:pBdr>
      </w:pPr>
      <w:r>
        <w:rPr>
          <w:b/>
          <w:color w:val="1F3A5F"/>
          <w:sz w:val="21"/>
        </w:rPr>
        <w:t>P E R S Ö N L I C H E   P R O J E K T E</w:t>
      </w:r>
    </w:p>
    <w:p>
      <w:pPr>
        <w:keepNext/>
        <w:spacing w:before="40" w:after="0" w:line="276" w:lineRule="auto"/>
      </w:pPr>
      <w:r>
        <w:rPr>
          <w:b/>
          <w:color w:val="1F3A5F"/>
          <w:sz w:val="22"/>
        </w:rPr>
        <w:t>CreditIQ: Fairness by Design Credit Scoring</w:t>
      </w:r>
    </w:p>
    <w:p>
      <w:pPr>
        <w:keepNext/>
        <w:spacing w:before="0" w:after="0" w:line="276" w:lineRule="auto"/>
      </w:pPr>
      <w:r>
        <w:rPr>
          <w:i/>
          <w:color w:val="6C7A93"/>
          <w:sz w:val="20"/>
        </w:rPr>
        <w:t>2025</w:t>
      </w:r>
    </w:p>
    <w:p>
      <w:pPr>
        <w:spacing w:before="0" w:after="0" w:line="276" w:lineRule="auto"/>
        <w:ind w:left="283" w:hanging="170"/>
        <w:jc w:val="both"/>
      </w:pPr>
      <w:r>
        <w:rPr>
          <w:b/>
          <w:color w:val="B8663F"/>
          <w:sz w:val="21"/>
        </w:rPr>
        <w:t xml:space="preserve">• </w:t>
      </w:r>
      <w:r>
        <w:rPr>
          <w:b w:val="0"/>
          <w:color w:val="1F2937"/>
          <w:sz w:val="21"/>
        </w:rPr>
        <w:t xml:space="preserve">Für ein SRH Heidelberg Projekt zu reguliertem Credit Scoring, bei dem ein Baseline Modell die </w:t>
      </w:r>
      <w:r>
        <w:rPr>
          <w:b/>
          <w:color w:val="1F3A5F"/>
          <w:sz w:val="21"/>
        </w:rPr>
        <w:t>80 Prozent</w:t>
      </w:r>
      <w:r>
        <w:rPr>
          <w:b w:val="0"/>
          <w:color w:val="1F2937"/>
          <w:sz w:val="21"/>
        </w:rPr>
        <w:t xml:space="preserve"> Fairness Schwelle nach EU AI Act und AGG nicht erfüllte, mit dem Auftrag die Compliance ohne massiven Genauigkeitsverlust wiederherzustellen, wurden AIF360 Mitigation und Schwellenwertkalibrierung auf einen realen Kreditdatensatz angewandt, was den Disparate Impact Wert von einem durchgefallenen </w:t>
      </w:r>
      <w:r>
        <w:rPr>
          <w:b/>
          <w:color w:val="1F3A5F"/>
          <w:sz w:val="21"/>
        </w:rPr>
        <w:t>0,79</w:t>
      </w:r>
      <w:r>
        <w:rPr>
          <w:b w:val="0"/>
          <w:color w:val="1F2937"/>
          <w:sz w:val="21"/>
        </w:rPr>
        <w:t xml:space="preserve"> auf einen konformen </w:t>
      </w:r>
      <w:r>
        <w:rPr>
          <w:b/>
          <w:color w:val="1F3A5F"/>
          <w:sz w:val="21"/>
        </w:rPr>
        <w:t>0,88</w:t>
      </w:r>
      <w:r>
        <w:rPr>
          <w:b w:val="0"/>
          <w:color w:val="1F2937"/>
          <w:sz w:val="21"/>
        </w:rPr>
        <w:t xml:space="preserve"> hob.</w:t>
      </w:r>
    </w:p>
    <w:p>
      <w:pPr>
        <w:spacing w:before="0" w:after="0" w:line="276" w:lineRule="auto"/>
        <w:ind w:left="283" w:hanging="170"/>
        <w:jc w:val="both"/>
      </w:pPr>
      <w:r>
        <w:rPr>
          <w:b/>
          <w:color w:val="B8663F"/>
          <w:sz w:val="21"/>
        </w:rPr>
        <w:t xml:space="preserve">• </w:t>
      </w:r>
      <w:r>
        <w:rPr>
          <w:b w:val="0"/>
          <w:color w:val="1F2937"/>
          <w:sz w:val="21"/>
        </w:rPr>
        <w:t>Nach Korrektur der einachsigen Altersverzerrung wurden jüngere Frauen weiterhin benachteiligt, mit dem Auftrag die versteckte intersektionale Verzerrung zu finden und zu beheben, wurde eine SHAP getriebene Subgruppenanalyse durchgeführt und eine vierfeldrige Alter und Geschlecht Schwellenwertmatrix entworfen, was die Verzerrung korrigierte ohne in umgekehrte Diskriminierung zu kippen.</w:t>
      </w:r>
    </w:p>
    <w:p>
      <w:pPr>
        <w:spacing w:before="0" w:after="0" w:line="276" w:lineRule="auto"/>
        <w:ind w:left="283" w:hanging="170"/>
        <w:jc w:val="both"/>
      </w:pPr>
      <w:r>
        <w:rPr>
          <w:b/>
          <w:color w:val="B8663F"/>
          <w:sz w:val="21"/>
        </w:rPr>
        <w:t xml:space="preserve">• </w:t>
      </w:r>
      <w:r>
        <w:rPr>
          <w:b w:val="0"/>
          <w:color w:val="1F2937"/>
          <w:sz w:val="21"/>
        </w:rPr>
        <w:t xml:space="preserve">Bei einer großen False Negative Rate, die stumm gute Bewerber ablehnte, mit dem Auftrag diese zu senken bei belastbarer Gesamtgenauigkeit, wurde der Fairness Accuracy Trade off als bewusste und regulatorisch belastbare Entscheidung dokumentiert, was die False Negative Rate von </w:t>
      </w:r>
      <w:r>
        <w:rPr>
          <w:b/>
          <w:color w:val="1F3A5F"/>
          <w:sz w:val="21"/>
        </w:rPr>
        <w:t>44 Prozent auf 16,7 Prozent</w:t>
      </w:r>
      <w:r>
        <w:rPr>
          <w:b w:val="0"/>
          <w:color w:val="1F2937"/>
          <w:sz w:val="21"/>
        </w:rPr>
        <w:t xml:space="preserve"> senkte, während die Genauigkeit am Held Out Test Split bei </w:t>
      </w:r>
      <w:r>
        <w:rPr>
          <w:b/>
          <w:color w:val="1F3A5F"/>
          <w:sz w:val="21"/>
        </w:rPr>
        <w:t>75 Prozent</w:t>
      </w:r>
      <w:r>
        <w:rPr>
          <w:b w:val="0"/>
          <w:color w:val="1F2937"/>
          <w:sz w:val="21"/>
        </w:rPr>
        <w:t xml:space="preserve"> blieb.</w:t>
      </w:r>
    </w:p>
    <w:p>
      <w:pPr>
        <w:spacing w:before="20" w:after="0"/>
      </w:pPr>
      <w:r>
        <w:rPr>
          <w:b/>
          <w:color w:val="B8663F"/>
          <w:sz w:val="19"/>
        </w:rPr>
        <w:t xml:space="preserve">Technologies: </w:t>
      </w:r>
      <w:r>
        <w:rPr>
          <w:i/>
          <w:color w:val="6C7A93"/>
          <w:sz w:val="19"/>
        </w:rPr>
        <w:t>Python, scikit learn, AIF360, SHAP, Streamlit</w:t>
      </w:r>
    </w:p>
    <w:p>
      <w:pPr>
        <w:keepNext/>
        <w:spacing w:before="20" w:after="0"/>
        <w:pBdr>
          <w:bottom w:val="single" w:sz="6" w:space="1" w:color="B7C0CE"/>
        </w:pBdr>
      </w:pPr>
      <w:r>
        <w:rPr>
          <w:b/>
          <w:color w:val="1F3A5F"/>
          <w:sz w:val="21"/>
        </w:rPr>
        <w:t>F O R S C H U N G   U N D   A B S C H L U S S A R B E I T</w:t>
      </w:r>
    </w:p>
    <w:p>
      <w:pPr>
        <w:keepNext/>
        <w:spacing w:before="40" w:after="0" w:line="276" w:lineRule="auto"/>
      </w:pPr>
      <w:r>
        <w:rPr>
          <w:b/>
          <w:color w:val="1F3A5F"/>
          <w:sz w:val="22"/>
        </w:rPr>
        <w:t>Bachelorarbeit: Diabetesvorhersage mit Machine Learning</w:t>
      </w:r>
    </w:p>
    <w:p>
      <w:pPr>
        <w:keepNext/>
        <w:spacing w:before="0" w:after="0" w:line="276" w:lineRule="auto"/>
      </w:pPr>
      <w:r>
        <w:rPr>
          <w:i/>
          <w:color w:val="6C7A93"/>
          <w:sz w:val="20"/>
        </w:rPr>
        <w:t>GL Bajaj Institute of Technology and Management, IEEE style paper · Greater Noida, India · 2022 to 2023</w:t>
      </w:r>
    </w:p>
    <w:p>
      <w:pPr>
        <w:spacing w:before="0" w:after="0" w:line="276" w:lineRule="auto"/>
        <w:ind w:left="283" w:hanging="170"/>
        <w:jc w:val="both"/>
      </w:pPr>
      <w:r>
        <w:rPr>
          <w:b/>
          <w:color w:val="B8663F"/>
          <w:sz w:val="21"/>
        </w:rPr>
        <w:t xml:space="preserve">• </w:t>
      </w:r>
      <w:r>
        <w:rPr>
          <w:b w:val="0"/>
          <w:color w:val="1F2937"/>
          <w:sz w:val="21"/>
        </w:rPr>
        <w:t xml:space="preserve">Für eine Bachelorarbeit zur Diabetesvorhersage auf einem kleinen klinischen Datensatz von </w:t>
      </w:r>
      <w:r>
        <w:rPr>
          <w:b/>
          <w:color w:val="1F3A5F"/>
          <w:sz w:val="21"/>
        </w:rPr>
        <w:t>768 Patient</w:t>
      </w:r>
      <w:r>
        <w:rPr>
          <w:b w:val="0"/>
          <w:color w:val="1F2937"/>
          <w:sz w:val="21"/>
        </w:rPr>
        <w:t xml:space="preserve">innen und Patienten, mit dem Auftrag einen belastbaren Modellvergleich zu liefern, den die Prüfer nachprüfen können, wurde eine vollständige end to end Machine Learning Pipeline mit sechs Klassifikatoren, </w:t>
      </w:r>
      <w:r>
        <w:rPr>
          <w:b/>
          <w:color w:val="1F3A5F"/>
          <w:sz w:val="21"/>
        </w:rPr>
        <w:t>10 fach</w:t>
      </w:r>
      <w:r>
        <w:rPr>
          <w:b w:val="0"/>
          <w:color w:val="1F2937"/>
          <w:sz w:val="21"/>
        </w:rPr>
        <w:t>er Kreuzvalidierung und pro Modell erstellten Konfusionsmatrizen aufgebaut, was einen Modellvergleich ergab, der in der Verteidigung standhielt.</w:t>
      </w:r>
    </w:p>
    <w:p>
      <w:pPr>
        <w:spacing w:before="0" w:after="0" w:line="276" w:lineRule="auto"/>
        <w:ind w:left="283" w:hanging="170"/>
        <w:jc w:val="both"/>
      </w:pPr>
      <w:r>
        <w:rPr>
          <w:b/>
          <w:color w:val="B8663F"/>
          <w:sz w:val="21"/>
        </w:rPr>
        <w:t xml:space="preserve">• </w:t>
      </w:r>
      <w:r>
        <w:rPr>
          <w:b w:val="0"/>
          <w:color w:val="1F2937"/>
          <w:sz w:val="21"/>
        </w:rPr>
        <w:t>Nach dem Erkennen biologisch unmöglicher Nullwerte in den Quelldaten, die die Originalautoren übersehen hatten, mit dem Auftrag die Datenintegrität vor jedem Modelltraining wiederherzustellen, wurde eine IQR basierte Ausreißerbehandlung und saubere Imputation angewandt, was den Datensatz von still fehlerhaft zu einer sauberen Trainingsgrundlage für jedes nachgelagerte Modell brachte.</w:t>
      </w:r>
    </w:p>
    <w:p>
      <w:pPr>
        <w:spacing w:before="0" w:after="0" w:line="276" w:lineRule="auto"/>
        <w:ind w:left="283" w:hanging="170"/>
        <w:jc w:val="both"/>
      </w:pPr>
      <w:r>
        <w:rPr>
          <w:b/>
          <w:color w:val="B8663F"/>
          <w:sz w:val="21"/>
        </w:rPr>
        <w:t xml:space="preserve">• </w:t>
      </w:r>
      <w:r>
        <w:rPr>
          <w:b w:val="0"/>
          <w:color w:val="1F2937"/>
          <w:sz w:val="21"/>
        </w:rPr>
        <w:t xml:space="preserve">Bei einer 65 zu </w:t>
      </w:r>
      <w:r>
        <w:rPr>
          <w:b/>
          <w:color w:val="1F3A5F"/>
          <w:sz w:val="21"/>
        </w:rPr>
        <w:t>35 Klassen</w:t>
      </w:r>
      <w:r>
        <w:rPr>
          <w:b w:val="0"/>
          <w:color w:val="1F2937"/>
          <w:sz w:val="21"/>
        </w:rPr>
        <w:t>ungleichgewicht Verteilung, die Genauigkeit zu einer trügerisch schönen Leitmetrik gemacht hätte, mit dem Auftrag eine Bewertung zu wählen, die Fehler in der Minderheitsklasse nicht verdeckt, wurde die Leitmetrik von Genauigkeit auf ROC AUC umgestellt, was die realen Fehlermuster offenlegte, die die Genauigkeitszahl maskiert hatte und der Arbeit einen ehrlichen Leistungsvergleich gab.</w:t>
      </w:r>
    </w:p>
    <w:p>
      <w:pPr>
        <w:spacing w:before="0" w:after="0" w:line="276" w:lineRule="auto"/>
        <w:ind w:left="283" w:hanging="170"/>
        <w:jc w:val="both"/>
      </w:pPr>
      <w:r>
        <w:rPr>
          <w:b/>
          <w:color w:val="B8663F"/>
          <w:sz w:val="21"/>
        </w:rPr>
        <w:t xml:space="preserve">• </w:t>
      </w:r>
      <w:r>
        <w:rPr>
          <w:b w:val="0"/>
          <w:color w:val="1F2937"/>
          <w:sz w:val="21"/>
        </w:rPr>
        <w:t>Da die Ergebnisse in der Substanz veröffentlichungsreif und nicht nur abgabefähig sein sollten, mit dem Auftrag sie formal aufzuschreiben, wurde ein IEEE Paper mit einem ehrlichen Abschnitt zu Grenzen und Verbesserungsvorschlägen für eine Folgestudie verfasst, das der Betreuer als in der Substanz veröffentlichungsreif akzeptierte.</w:t>
      </w:r>
    </w:p>
    <w:p>
      <w:pPr>
        <w:spacing w:before="20" w:after="0"/>
      </w:pPr>
      <w:r>
        <w:rPr>
          <w:b/>
          <w:color w:val="B8663F"/>
          <w:sz w:val="19"/>
        </w:rPr>
        <w:t xml:space="preserve">Technologies: </w:t>
      </w:r>
      <w:r>
        <w:rPr>
          <w:i/>
          <w:color w:val="6C7A93"/>
          <w:sz w:val="19"/>
        </w:rPr>
        <w:t>Python, scikit learn, Pandas, Seaborn</w:t>
      </w:r>
    </w:p>
    <w:p>
      <w:pPr>
        <w:keepNext/>
        <w:spacing w:before="20" w:after="0"/>
        <w:pBdr>
          <w:bottom w:val="single" w:sz="6" w:space="1" w:color="B7C0CE"/>
        </w:pBdr>
      </w:pPr>
      <w:r>
        <w:rPr>
          <w:b/>
          <w:color w:val="1F3A5F"/>
          <w:sz w:val="21"/>
        </w:rPr>
        <w:t>Z E R T I F I K A T E</w:t>
      </w:r>
    </w:p>
    <w:p>
      <w:pPr>
        <w:spacing w:before="0" w:after="0" w:line="252" w:lineRule="auto"/>
        <w:ind w:left="170"/>
      </w:pPr>
      <w:r>
        <w:rPr>
          <w:b/>
          <w:color w:val="B8663F"/>
          <w:sz w:val="21"/>
        </w:rPr>
        <w:t xml:space="preserve">• </w:t>
      </w:r>
      <w:r>
        <w:rPr>
          <w:b w:val="0"/>
          <w:color w:val="1F2937"/>
          <w:sz w:val="21"/>
        </w:rPr>
        <w:t>SAS Certified Specialist: Visual Business Analytics Using SAS Viya, ausgestellt im Mai 2025.</w:t>
      </w:r>
    </w:p>
    <w:p>
      <w:pPr>
        <w:spacing w:before="0" w:after="0" w:line="252" w:lineRule="auto"/>
        <w:ind w:left="170"/>
      </w:pPr>
      <w:r>
        <w:rPr>
          <w:b/>
          <w:color w:val="B8663F"/>
          <w:sz w:val="21"/>
        </w:rPr>
        <w:t xml:space="preserve">• </w:t>
      </w:r>
      <w:r>
        <w:rPr>
          <w:b w:val="0"/>
          <w:color w:val="1F2937"/>
          <w:sz w:val="21"/>
        </w:rPr>
        <w:t>NVIDIA: Building LLM Applications With Prompt Engineering, ausgestellt im November 2025.</w:t>
      </w:r>
    </w:p>
    <w:p>
      <w:pPr>
        <w:spacing w:before="0" w:after="0" w:line="252" w:lineRule="auto"/>
        <w:ind w:left="170"/>
      </w:pPr>
      <w:r>
        <w:rPr>
          <w:b/>
          <w:color w:val="B8663F"/>
          <w:sz w:val="21"/>
        </w:rPr>
        <w:t xml:space="preserve">• </w:t>
      </w:r>
      <w:r>
        <w:rPr>
          <w:b w:val="0"/>
          <w:color w:val="1F2937"/>
          <w:sz w:val="21"/>
        </w:rPr>
        <w:t>Google Data Analytics: Foundations, Data, Data, Everywhere, ausgestellt im April 2025 auf Coursera.</w:t>
      </w:r>
    </w:p>
    <w:p>
      <w:pPr>
        <w:keepNext/>
        <w:spacing w:before="20" w:after="0"/>
        <w:pBdr>
          <w:bottom w:val="single" w:sz="6" w:space="1" w:color="B7C0CE"/>
        </w:pBdr>
      </w:pPr>
      <w:r>
        <w:rPr>
          <w:b/>
          <w:color w:val="1F3A5F"/>
          <w:sz w:val="21"/>
        </w:rPr>
        <w:t>A U S Z E I C H N U N G E N</w:t>
      </w:r>
    </w:p>
    <w:p>
      <w:pPr>
        <w:spacing w:before="0" w:after="0" w:line="264" w:lineRule="auto"/>
        <w:ind w:left="170"/>
      </w:pPr>
      <w:r>
        <w:rPr>
          <w:b/>
          <w:color w:val="B8663F"/>
          <w:sz w:val="21"/>
        </w:rPr>
        <w:t xml:space="preserve">• </w:t>
      </w:r>
      <w:r>
        <w:rPr>
          <w:b w:val="0"/>
          <w:color w:val="1F2937"/>
          <w:sz w:val="21"/>
        </w:rPr>
        <w:t>USAII Global AI Hackathon 2026: Finalist auf Graduate Level, ausgezeichnet vom United States Artificial Intelligence Institute für Innovation, technische Kreativität und angewandte KI an realen Herausforderungen.</w:t>
      </w:r>
    </w:p>
    <w:p>
      <w:pPr>
        <w:keepNext/>
        <w:spacing w:before="20" w:after="0"/>
        <w:pBdr>
          <w:bottom w:val="single" w:sz="6" w:space="1" w:color="B7C0CE"/>
        </w:pBdr>
      </w:pPr>
      <w:r>
        <w:rPr>
          <w:b/>
          <w:color w:val="1F3A5F"/>
          <w:sz w:val="21"/>
        </w:rPr>
        <w:t>S P R A C H E N</w:t>
      </w:r>
    </w:p>
    <w:p>
      <w:pPr>
        <w:spacing w:before="0" w:after="0" w:line="276" w:lineRule="auto"/>
      </w:pPr>
      <w:r>
        <w:rPr>
          <w:b/>
          <w:color w:val="1F3A5F"/>
          <w:sz w:val="21"/>
        </w:rPr>
        <w:t xml:space="preserve">Englisch: </w:t>
      </w:r>
      <w:r>
        <w:rPr>
          <w:color w:val="1F2937"/>
          <w:sz w:val="21"/>
        </w:rPr>
        <w:t>Fließend, schriftlich und mündlich</w:t>
      </w:r>
    </w:p>
    <w:p>
      <w:pPr>
        <w:spacing w:before="0" w:after="0" w:line="276" w:lineRule="auto"/>
      </w:pPr>
      <w:r>
        <w:rPr>
          <w:b/>
          <w:color w:val="1F3A5F"/>
          <w:sz w:val="21"/>
        </w:rPr>
        <w:t xml:space="preserve">Deutsch: </w:t>
      </w:r>
      <w:r>
        <w:rPr>
          <w:color w:val="1F2937"/>
          <w:sz w:val="21"/>
        </w:rPr>
        <w:t>B1 laufend Richtung B2</w:t>
      </w:r>
    </w:p>
    <w:p>
      <w:pPr>
        <w:spacing w:before="0" w:after="0" w:line="276" w:lineRule="auto"/>
      </w:pPr>
      <w:r>
        <w:rPr>
          <w:b/>
          <w:color w:val="1F3A5F"/>
          <w:sz w:val="21"/>
        </w:rPr>
        <w:t xml:space="preserve">Hindi: </w:t>
      </w:r>
      <w:r>
        <w:rPr>
          <w:color w:val="1F2937"/>
          <w:sz w:val="21"/>
        </w:rPr>
        <w:t>Muttersprache</w:t>
      </w:r>
    </w:p>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