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Masterstudent Data Science and Analytics | RAG und LLM Feintuning fuer Textanalyse | Python + LangGraph + scikit learn</w:t>
      </w:r>
    </w:p>
    <w:p>
      <w:pPr>
        <w:spacing w:before="0" w:after="0" w:line="264" w:lineRule="auto"/>
      </w:pPr>
      <w:r>
        <w:rPr>
          <w:color w:val="1F2937"/>
          <w:sz w:val="19"/>
        </w:rPr>
        <w:t>Mannheim, Deutschland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Immatrikuliert bis April 2027 · Sofort verfügbar · Studentenvisum mit Arbeitserlaubnis</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Masterstudent der Data Science and Analytics an der SRH Heidelberg mit Sitz in Mannheim und praktischer Erfahrung an der Schnittstelle von Retrieval Augmented Generation, LLM Evaluation und Zeitreihenanalyse. Ich habe ein Multi Agent RAG System mit LLM as Judge Evaluation lokal auf Ollama gebaut, das Dokumente ueber eine hybride BM25 plus Dense Retrieval Pipeline durchsucht, und in einem regulierten Kredit Scoring System SHAP getriebene Subgruppenanalyse fuer die Erkenntnisgewinnung aus komplexen Datensaetzen eingesetzt. Sicher in Python, scikit-learn, LangGraph und im Uebersetzen unstrukturierter Textdaten in belastbare Kennzahlen.</w:t>
      </w:r>
    </w:p>
    <w:p>
      <w:pPr>
        <w:keepNext/>
        <w:spacing w:before="20" w:after="0"/>
        <w:pBdr>
          <w:bottom w:val="single" w:sz="6" w:space="1" w:color="B7C0CE"/>
        </w:pBdr>
      </w:pPr>
      <w:r>
        <w:rPr>
          <w:b/>
          <w:color w:val="1F3A5F"/>
          <w:sz w:val="21"/>
        </w:rPr>
        <w:t>F Ä H I G K E I T E N</w:t>
      </w:r>
    </w:p>
    <w:p>
      <w:pPr>
        <w:spacing w:before="0" w:after="0" w:line="288" w:lineRule="auto"/>
        <w:ind w:left="0"/>
      </w:pPr>
      <w:r>
        <w:rPr>
          <w:b/>
          <w:color w:val="1F3A5F"/>
          <w:sz w:val="21"/>
        </w:rPr>
        <w:t xml:space="preserve">KI und Agenten: </w:t>
      </w:r>
      <w:r>
        <w:rPr>
          <w:color w:val="1F2937"/>
          <w:sz w:val="21"/>
        </w:rPr>
        <w:t>LangGraph, RAG, LLM as Judge, Prompt Engineering, Ollama, spaCy, BM25</w:t>
      </w:r>
    </w:p>
    <w:p>
      <w:pPr>
        <w:spacing w:before="0" w:after="0" w:line="288" w:lineRule="auto"/>
        <w:ind w:left="0"/>
      </w:pPr>
      <w:r>
        <w:rPr>
          <w:b/>
          <w:color w:val="1F3A5F"/>
          <w:sz w:val="21"/>
        </w:rPr>
        <w:t xml:space="preserve">Daten und ML: </w:t>
      </w:r>
      <w:r>
        <w:rPr>
          <w:color w:val="1F2937"/>
          <w:sz w:val="21"/>
        </w:rPr>
        <w:t>Python, SQL, PySpark, scikit learn, CatBoost, XGBoost, LightGBM, Prophet, MICE</w:t>
      </w:r>
    </w:p>
    <w:p>
      <w:pPr>
        <w:spacing w:before="0" w:after="0" w:line="288" w:lineRule="auto"/>
        <w:ind w:left="0"/>
      </w:pPr>
      <w:r>
        <w:rPr>
          <w:b/>
          <w:color w:val="1F3A5F"/>
          <w:sz w:val="21"/>
        </w:rPr>
        <w:t xml:space="preserve">Cloud und Orchestrierung: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bis Aug 2024</w:t>
      </w:r>
    </w:p>
    <w:p>
      <w:pPr>
        <w:spacing w:before="0" w:after="0" w:line="276" w:lineRule="auto"/>
        <w:ind w:left="283" w:hanging="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bis Juli 2023</w:t>
      </w:r>
    </w:p>
    <w:p>
      <w:pPr>
        <w:spacing w:before="0" w:after="0" w:line="276" w:lineRule="auto"/>
        <w:ind w:left="283" w:hanging="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Multi Agent RAG mit LLM as Judge und mehrsprachiger EN und DE Unterstützung</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Für ein rein englisches Hybrid RAG Policy Analysesystem mit BM25 und dichter Vektorsuche über einen </w:t>
      </w:r>
      <w:r>
        <w:rPr>
          <w:b/>
          <w:color w:val="1F3A5F"/>
          <w:sz w:val="21"/>
        </w:rPr>
        <w:t>14 Dokumente</w:t>
      </w:r>
      <w:r>
        <w:rPr>
          <w:b w:val="0"/>
          <w:color w:val="1F2937"/>
          <w:sz w:val="21"/>
        </w:rPr>
        <w:t xml:space="preserve"> Policy Korpus, das deutschsprachige Nutzer nicht bedienen konnte, mit dem Auftrag mehrsprachige Unterstützung ohne Korpus Duplizierung hinzuzufügen, wurden Embeddings und Retrieval auf einen paraphrase multilingual MiniLM L12 v2 gemeinsamen Vektorraum migriert, sodass eine deutsche Anfrage englische Quellen abruft und end to end auf Deutsch beantwortet wird.</w:t>
      </w:r>
    </w:p>
    <w:p>
      <w:pPr>
        <w:spacing w:before="0" w:after="0" w:line="276" w:lineRule="auto"/>
        <w:ind w:left="283" w:hanging="170"/>
        <w:jc w:val="both"/>
      </w:pPr>
      <w:r>
        <w:rPr>
          <w:b/>
          <w:color w:val="B8663F"/>
          <w:sz w:val="21"/>
        </w:rPr>
        <w:t xml:space="preserve">• </w:t>
      </w:r>
      <w:r>
        <w:rPr>
          <w:b w:val="0"/>
          <w:color w:val="1F2937"/>
          <w:sz w:val="21"/>
        </w:rPr>
        <w:t>Da jeder Agent im Graph erneut Spracherkennung ausführte und inkonsistente Ausgabesprachen produzierte, mit dem Auftrag eine zentrale Wahrheitsquelle zu schaffen, wurde ein LanguageAgent gebaut, der geseedete Spracherkennung mit einem Confidence Floor zentralisiert, die Ausgabesprache Direktive an jeden nachgelagerten Agent weiterreicht und Preprocessing an sprachpassende spaCy Pipelines mit einem leeren Multilingual Fallback routet und die Sprache pro Chunk protokolliert, sodass Retrieval und Evaluation nach Sprache geschnitten werden können.</w:t>
      </w:r>
    </w:p>
    <w:p>
      <w:pPr>
        <w:spacing w:before="20" w:after="0"/>
      </w:pPr>
      <w:r>
        <w:rPr>
          <w:b/>
          <w:color w:val="B8663F"/>
          <w:sz w:val="19"/>
        </w:rPr>
        <w:t xml:space="preserve">Technologies: </w:t>
      </w:r>
      <w:r>
        <w:rPr>
          <w:i/>
          <w:color w:val="6C7A93"/>
          <w:sz w:val="19"/>
        </w:rPr>
        <w:t>Python, LangGraph Multi Agent, Ollama mit Mistral 7B und Qwen2.5 14B, Pinecone, paraphrase multilingual MiniLM L12 v2, spaCy, BM25</w:t>
      </w:r>
    </w:p>
    <w:p>
      <w:pPr>
        <w:keepNext/>
        <w:spacing w:before="20" w:after="0"/>
        <w:pBdr>
          <w:bottom w:val="single" w:sz="6" w:space="1" w:color="B7C0CE"/>
        </w:pBdr>
      </w:pPr>
      <w:r>
        <w:rPr>
          <w:b/>
          <w:color w:val="1F3A5F"/>
          <w:sz w:val="21"/>
        </w:rPr>
        <w:t>F O R S C H U N G   U N D   A B S C H L U S S A R B E I T</w:t>
      </w:r>
    </w:p>
    <w:p>
      <w:pPr>
        <w:keepNext/>
        <w:spacing w:before="40" w:after="0" w:line="276" w:lineRule="auto"/>
      </w:pPr>
      <w:r>
        <w:rPr>
          <w:b/>
          <w:color w:val="1F3A5F"/>
          <w:sz w:val="22"/>
        </w:rPr>
        <w:t>Bachelorarbeit: Diabetesvorhersage mit Machine Learning</w:t>
      </w:r>
    </w:p>
    <w:p>
      <w:pPr>
        <w:keepNext/>
        <w:spacing w:before="0" w:after="0" w:line="276" w:lineRule="auto"/>
      </w:pPr>
      <w:r>
        <w:rPr>
          <w:i/>
          <w:color w:val="6C7A93"/>
          <w:sz w:val="20"/>
        </w:rPr>
        <w:t>GL Bajaj Institute of Technology and Management, IEEE style paper · Greater Noida, India · 2022 to 2023</w:t>
      </w:r>
    </w:p>
    <w:p>
      <w:pPr>
        <w:spacing w:before="0" w:after="0" w:line="276" w:lineRule="auto"/>
        <w:ind w:left="283" w:hanging="170"/>
        <w:jc w:val="both"/>
      </w:pPr>
      <w:r>
        <w:rPr>
          <w:b/>
          <w:color w:val="B8663F"/>
          <w:sz w:val="21"/>
        </w:rPr>
        <w:t xml:space="preserve">• </w:t>
      </w:r>
      <w:r>
        <w:rPr>
          <w:b w:val="0"/>
          <w:color w:val="1F2937"/>
          <w:sz w:val="21"/>
        </w:rPr>
        <w:t xml:space="preserve">Für eine Bachelorarbeit zur Diabetesvorhersage auf einem kleinen klinischen Datensatz von </w:t>
      </w:r>
      <w:r>
        <w:rPr>
          <w:b/>
          <w:color w:val="1F3A5F"/>
          <w:sz w:val="21"/>
        </w:rPr>
        <w:t>768 Patient</w:t>
      </w:r>
      <w:r>
        <w:rPr>
          <w:b w:val="0"/>
          <w:color w:val="1F2937"/>
          <w:sz w:val="21"/>
        </w:rPr>
        <w:t xml:space="preserve">innen und Patienten, mit dem Auftrag einen belastbaren Modellvergleich zu liefern, den die Prüfer nachprüfen können, wurde eine vollständige end to end Machine Learning Pipeline mit sechs Klassifikatoren, </w:t>
      </w:r>
      <w:r>
        <w:rPr>
          <w:b/>
          <w:color w:val="1F3A5F"/>
          <w:sz w:val="21"/>
        </w:rPr>
        <w:t>10 fach</w:t>
      </w:r>
      <w:r>
        <w:rPr>
          <w:b w:val="0"/>
          <w:color w:val="1F2937"/>
          <w:sz w:val="21"/>
        </w:rPr>
        <w:t>er Kreuzvalidierung und pro Modell erstellten Konfusionsmatrizen aufgebaut, was einen Modellvergleich ergab, der in der Verteidigung standhielt.</w:t>
      </w:r>
    </w:p>
    <w:p>
      <w:pPr>
        <w:spacing w:before="20" w:after="0"/>
      </w:pPr>
      <w:r>
        <w:rPr>
          <w:b/>
          <w:color w:val="B8663F"/>
          <w:sz w:val="19"/>
        </w:rPr>
        <w:t xml:space="preserve">Technologies: </w:t>
      </w:r>
      <w:r>
        <w:rPr>
          <w:i/>
          <w:color w:val="6C7A93"/>
          <w:sz w:val="19"/>
        </w:rPr>
        <w:t>Python, scikit learn, Pandas, Seaborn</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