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Loss Design und Evaluation bei Klassenungleichgewicht | Python + scikit learn + CatBoost</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im kritischen Vergleich von Modellierungsansaetzen und Metriken unter starkem Klassenungleichgewicht. Ich habe in meiner Bachelorarbeit sechs Klassifikatoren verglichen und bei einer 65 zu </w:t>
      </w:r>
      <w:r>
        <w:rPr>
          <w:b/>
          <w:color w:val="1F3A5F"/>
          <w:sz w:val="21"/>
        </w:rPr>
        <w:t>35 Klassen</w:t>
      </w:r>
      <w:r>
        <w:rPr>
          <w:b w:val="0"/>
          <w:color w:val="1F2937"/>
          <w:sz w:val="21"/>
        </w:rPr>
        <w:t>ungleichgewicht Verteilung die Leitmetrik bewusst von Genauigkeit auf ROC AUC umgestellt, und in CreditIQ eine SHAP getriebene Subgruppenanalyse genutzt, um eine versteckte, durch die falsche Metrik verdeckte Verzerrung aufzudecken. Sicher in Python, Machine Learning Grundlagen und im Design und der kritischen Pruefung von Evaluationsmetriken.</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