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15 August 2026</w:t>
      </w:r>
    </w:p>
    <w:p>
      <w:r>
        <w:rPr>
          <w:b/>
          <w:color w:val="1F3A5F"/>
          <w:sz w:val="23"/>
        </w:rPr>
        <w:t>Allianz Insurance</w:t>
      </w:r>
    </w:p>
    <w:p>
      <w:r>
        <w:rPr>
          <w:color w:val="1F2937"/>
          <w:sz w:val="21"/>
        </w:rPr>
        <w:t>Hiring Team</w:t>
      </w:r>
    </w:p>
    <w:p>
      <w:r>
        <w:rPr>
          <w:b/>
          <w:color w:val="1F3A5F"/>
          <w:sz w:val="22"/>
        </w:rPr>
        <w:t>Application: Working Student, Data Science in Munich</w:t>
      </w:r>
    </w:p>
    <w:p>
      <w:r>
        <w:rPr>
          <w:color w:val="1F2937"/>
          <w:sz w:val="21"/>
        </w:rPr>
        <w:t>Dear Hiring Team,</w:t>
      </w:r>
    </w:p>
    <w:p>
      <w:pPr>
        <w:spacing w:line="324" w:lineRule="auto"/>
        <w:jc w:val="both"/>
      </w:pPr>
      <w:r>
        <w:rPr>
          <w:color w:val="1F2937"/>
          <w:sz w:val="21"/>
        </w:rPr>
        <w:t>I am writing to apply for the Working Student position in Data Science at Allianz Insurance in Munich. As a Master's student in Data Science and Analytics at SRH Heidelberg based in Mannheim, the combination of applied machine learning inside a regulated financial services environment, honest evaluation, and translating model outputs into actionable insights maps closely to the projects I have shipped in the last several months.</w:t>
      </w:r>
    </w:p>
    <w:p>
      <w:pPr>
        <w:spacing w:line="324" w:lineRule="auto"/>
        <w:jc w:val="both"/>
      </w:pPr>
      <w:r>
        <w:rPr>
          <w:color w:val="1F2937"/>
          <w:sz w:val="21"/>
        </w:rPr>
        <w:t>In CreditIQ I built an end to end credit scoring system under the EU AI Act and AGG 80 percent fairness bar, applying AIF360 mitigation and threshold calibration on a real credit dataset, which raised the Disparate Impact ratio from a failing 0.79 to a compliant 0.88. I used SHAP driven subgroup analysis to expose a hidden intersectional bias across age and gender and designed a four way threshold matrix that corrected it without over correcting into reverse discrimination, and the false negative rate dropped from 44 percent to 16.7 percent while accuracy held at 75 percent on the held out split. The system runs as a Streamlit decision support tool with a plain language LLM generated explanation, backed by unit tests at 100 percent branch coverage and a full regulatory write up covering GDPR Article 22 and EU AI Act Article 14 human in the loop requirements.</w:t>
      </w:r>
    </w:p>
    <w:p>
      <w:pPr>
        <w:spacing w:line="324" w:lineRule="auto"/>
        <w:jc w:val="both"/>
      </w:pPr>
      <w:r>
        <w:rPr>
          <w:color w:val="1F2937"/>
          <w:sz w:val="21"/>
        </w:rPr>
        <w:t>In my Multi Agent RAG project I built a LangGraph orchestrated agent system that answers questions in English or German end to end. I implemented a JudgeAgent that scores answers on 5 dimensions using JSON mode at temperature 0 and eliminated self preference bias by running the judge Qwen2.5 14B on a different local model from the generator Mistral 7B, plus an EvalAgent computing 5 retrieval metrics and 4 generation metrics aggregated per language into JSON and Markdown reports. At eRay GmbH I delivered a recursive time series pipeline for four water quality indicators and chose CatBoost Multi Quantile regression with asymmetric 80 percent prediction intervals as the shipped model, making the September evaluation defensible with a 3 pass outlier system.</w:t>
      </w:r>
    </w:p>
    <w:p>
      <w:pPr>
        <w:spacing w:line="324" w:lineRule="auto"/>
        <w:jc w:val="both"/>
      </w:pPr>
      <w:r>
        <w:rPr>
          <w:color w:val="1F2937"/>
          <w:sz w:val="21"/>
        </w:rPr>
        <w:t>I work comfortably in Python, SQL, scikit-learn, LangGraph, and the usual AWS and GCP cloud stacks. I hold the NVIDIA Building LLM Applications With Prompt Engineering, AWS Academy Cloud Foundations and Google Data Analytics certificates and was recognised as a Finalist of the USAII Global AI Hackathon 2026 at Graduate Level. I am fluent in English and B1 in progress in German. I can join in Munich as a Working Student for 15 to 20 hours a week in a hybrid setup immediately. I would welcome the chance to discuss how I could contribute to your Data Science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