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im Bereich IT, Data Science und KI</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Data Pipelines, Machine Learning Modellen und LLM Werkzeugen in regulierten Umgebungen. Ich habe in CreditIQ ein Kredit Scoring System entwickelt, das den Disparate Impact von </w:t>
      </w:r>
      <w:r>
        <w:rPr>
          <w:b/>
          <w:color w:val="1F3A5F"/>
          <w:sz w:val="21"/>
        </w:rPr>
        <w:t>0,79 auf 0,88</w:t>
      </w:r>
      <w:r>
        <w:rPr>
          <w:b w:val="0"/>
          <w:color w:val="1F2937"/>
          <w:sz w:val="21"/>
        </w:rPr>
        <w:t xml:space="preserve"> gehoben und die False Negative Rate von </w:t>
      </w:r>
      <w:r>
        <w:rPr>
          <w:b/>
          <w:color w:val="1F3A5F"/>
          <w:sz w:val="21"/>
        </w:rPr>
        <w:t>44 Prozent auf 16,7 Prozent</w:t>
      </w:r>
      <w:r>
        <w:rPr>
          <w:b w:val="0"/>
          <w:color w:val="1F2937"/>
          <w:sz w:val="21"/>
        </w:rPr>
        <w:t xml:space="preserve"> gesenkt hat, und bei eRay GmbH eine end to end rekursive Zeitreihen Pipeline mit CatBoost MultiQuantile fuer 4 Umweltindikatoren geliefert. Sicher in Python, SQL, scikit-learn, LangGraph, BigQuery, Airflow, Tableau und Looker Studio.</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CreditIQ: Fairness by Design Credit Scoring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SRH Heidelberg Projekt zu reguliertem Credit Scoring, bei dem ein Baseline Modell die </w:t>
      </w:r>
      <w:r>
        <w:rPr>
          <w:b/>
          <w:color w:val="1F3A5F"/>
          <w:sz w:val="21"/>
        </w:rPr>
        <w:t>80 Prozent</w:t>
      </w:r>
      <w:r>
        <w:rPr>
          <w:b w:val="0"/>
          <w:color w:val="1F2937"/>
          <w:sz w:val="21"/>
        </w:rPr>
        <w:t xml:space="preserve"> Fairness Schwelle nach EU AI Act und AGG nicht erfüllte, mit dem Auftrag die Compliance ohne massiven Genauigkeitsverlust wiederherzustellen, wurden AIF360 Mitigation und Schwellenwertkalibrierung auf einen realen Kreditdatensatz angewandt, was den Disparate Impact Wert von einem durchgefallenen </w:t>
      </w:r>
      <w:r>
        <w:rPr>
          <w:b/>
          <w:color w:val="1F3A5F"/>
          <w:sz w:val="21"/>
        </w:rPr>
        <w:t>0,79</w:t>
      </w:r>
      <w:r>
        <w:rPr>
          <w:b w:val="0"/>
          <w:color w:val="1F2937"/>
          <w:sz w:val="21"/>
        </w:rPr>
        <w:t xml:space="preserve"> auf einen konformen </w:t>
      </w:r>
      <w:r>
        <w:rPr>
          <w:b/>
          <w:color w:val="1F3A5F"/>
          <w:sz w:val="21"/>
        </w:rPr>
        <w:t>0,88</w:t>
      </w:r>
      <w:r>
        <w:rPr>
          <w:b w:val="0"/>
          <w:color w:val="1F2937"/>
          <w:sz w:val="21"/>
        </w:rPr>
        <w:t xml:space="preserve"> hob.</w:t>
      </w:r>
    </w:p>
    <w:p>
      <w:pPr>
        <w:spacing w:before="0" w:after="0" w:line="276" w:lineRule="auto"/>
        <w:ind w:left="283" w:hanging="170"/>
        <w:jc w:val="both"/>
      </w:pPr>
      <w:r>
        <w:rPr>
          <w:b/>
          <w:color w:val="B8663F"/>
          <w:sz w:val="21"/>
        </w:rPr>
        <w:t xml:space="preserve">• </w:t>
      </w:r>
      <w:r>
        <w:rPr>
          <w:b w:val="0"/>
          <w:color w:val="1F2937"/>
          <w:sz w:val="21"/>
        </w:rPr>
        <w:t>Nach Korrektur der einachsigen Altersverzerrung wurden jüngere Frauen weiterhin benachteiligt, mit dem Auftrag die versteckte intersektionale Verzerrung zu finden und zu beheben, wurde eine SHAP getriebene Subgruppenanalyse durchgeführt und eine vierfeldrige Alter und Geschlecht Schwellenwertmatrix entworfen, was die Verzerrung korrigierte ohne in umgekehrte Diskriminierung zu kippen.</w:t>
      </w:r>
    </w:p>
    <w:p>
      <w:pPr>
        <w:spacing w:before="0" w:after="0" w:line="276" w:lineRule="auto"/>
        <w:ind w:left="283" w:hanging="170"/>
        <w:jc w:val="both"/>
      </w:pPr>
      <w:r>
        <w:rPr>
          <w:b/>
          <w:color w:val="B8663F"/>
          <w:sz w:val="21"/>
        </w:rPr>
        <w:t xml:space="preserve">• </w:t>
      </w:r>
      <w:r>
        <w:rPr>
          <w:b w:val="0"/>
          <w:color w:val="1F2937"/>
          <w:sz w:val="21"/>
        </w:rPr>
        <w:t xml:space="preserve">Bei einer großen False Negative Rate, die stumm gute Bewerber ablehnte, mit dem Auftrag diese zu senken bei belastbarer Gesamtgenauigkeit, wurde der Fairness Accuracy Trade off als bewusste und regulatorisch belastbare Entscheidung dokumentiert, was die False Negative Rate von </w:t>
      </w:r>
      <w:r>
        <w:rPr>
          <w:b/>
          <w:color w:val="1F3A5F"/>
          <w:sz w:val="21"/>
        </w:rPr>
        <w:t>44 Prozent auf 16,7 Prozent</w:t>
      </w:r>
      <w:r>
        <w:rPr>
          <w:b w:val="0"/>
          <w:color w:val="1F2937"/>
          <w:sz w:val="21"/>
        </w:rPr>
        <w:t xml:space="preserve"> senkte, während die Genauigkeit am Held Out Test Split bei </w:t>
      </w:r>
      <w:r>
        <w:rPr>
          <w:b/>
          <w:color w:val="1F3A5F"/>
          <w:sz w:val="21"/>
        </w:rPr>
        <w:t>75 Prozent</w:t>
      </w:r>
      <w:r>
        <w:rPr>
          <w:b w:val="0"/>
          <w:color w:val="1F2937"/>
          <w:sz w:val="21"/>
        </w:rPr>
        <w:t xml:space="preserve"> blieb.</w:t>
      </w:r>
    </w:p>
    <w:p>
      <w:pPr>
        <w:spacing w:before="20" w:after="0"/>
      </w:pPr>
      <w:r>
        <w:rPr>
          <w:b/>
          <w:color w:val="B8663F"/>
          <w:sz w:val="19"/>
        </w:rPr>
        <w:t xml:space="preserve">Technologies: </w:t>
      </w:r>
      <w:r>
        <w:rPr>
          <w:i/>
          <w:color w:val="6C7A93"/>
          <w:sz w:val="19"/>
        </w:rPr>
        <w:t>Python, scikit learn, AIF360, SHAP, Streamlit</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