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BOEING COMPANY — MASTER PRODUCTION CONTRACT (GP1 / SP3 / SP5)</w:t>
      </w:r>
    </w:p>
    <w:p>
      <w:r>
        <w:t>Deal ID: BA-2026-AV-8921 | Supplier: Apex AeroSystems (Tier-1 Avionics) | Program: 787 / 737-MAX Flight Control Display Units | Value: $45,000,000.00 (Firm-Fixed-Price)</w:t>
      </w:r>
    </w:p>
    <w:p>
      <w:pPr>
        <w:pStyle w:val="Heading2"/>
      </w:pPr>
      <w:r>
        <w:t>[GP1-01] GP1 §1.1 — Definitions &amp; Order of Precedence | SME_TEAM=PROCUREMENT | OWNER=Procurement &amp; Subcontracts | RISK=NONE | REG=Boeing Corporate GP1 Standard</w:t>
      </w:r>
    </w:p>
    <w:p>
      <w:r>
        <w:t>1.1 Buyer means The Boeing Company or its wholly-owned subsidiary identified on the face of the Contract. Seller means the legal entity contracting with Buyer. In the event of any inconsistency among Contract documents, Special Provisions (SP) shall take precedence over General Provisions (GP1), excluding Firm-Fixed-Price caps set forth in GP1 §3.1.</w:t>
      </w:r>
    </w:p>
    <w:p>
      <w:pPr>
        <w:pStyle w:val="Heading2"/>
      </w:pPr>
      <w:r>
        <w:t>[GP1-03] GP1 §3.1 — Firm-Fixed-Price SOW Cap &amp; Pricing Integrity | SME_TEAM=PROCUREMENT | OWNER=Procurement &amp; Cost Management | RISK=NONE | REG=Firm-Fixed-Price SOW Lock</w:t>
      </w:r>
    </w:p>
    <w:p>
      <w:r>
        <w:t>3.1 Unless expressly modified by a bilateral Change Order signed by Buyer's Authorized Procurement Representative referencing this GP1 §3.1, all unit prices in Statement of Work (SOW) Schedule A are Firm-Fixed-Price (FFP) and shall not be subject to uncapped surcharges, tariff pass-throughs, or raw material indexing.</w:t>
      </w:r>
    </w:p>
    <w:p>
      <w:pPr>
        <w:pStyle w:val="Heading2"/>
      </w:pPr>
      <w:r>
        <w:t>[GP1-05] GP1 §5.2 — Packing, Marking &amp; Aerospace Preservation | SME_TEAM=ENGINEERING | OWNER=Supplier Logistics &amp; Packaging | RISK=NONE | REG=ATA Spec 300 / D6-81628</w:t>
      </w:r>
    </w:p>
    <w:p>
      <w:r>
        <w:t>5.2 Seller shall pack, mark, and ship all Goods in accordance with Boeing Document D6-81628 and ATA Spec 300 electro-static discharge (ESD) protection standards for Class 1 flight-critical avionics.</w:t>
      </w:r>
    </w:p>
    <w:p>
      <w:pPr>
        <w:pStyle w:val="Heading2"/>
      </w:pPr>
      <w:r>
        <w:t>[GP1-07] GP1 §7.1 — Quality Management System (AS9100 Rev D) | SME_TEAM=ENGINEERING | OWNER=Supplier Quality Assurance | RISK=NONE | REG=AS9100 Rev D / D6-82479</w:t>
      </w:r>
    </w:p>
    <w:p>
      <w:r>
        <w:t>7.1 Seller shall maintain an accredited AS9100 Rev D Quality Management System and comply with Boeing Quality Management System Requirements for Suppliers (D6-82479) throughout Contract performance.</w:t>
      </w:r>
    </w:p>
    <w:p>
      <w:pPr>
        <w:pStyle w:val="Heading2"/>
      </w:pPr>
      <w:r>
        <w:t>[GP1-09] GP1 §9.1 — Changes &amp; Equitable Adjustment | SME_TEAM=PROCUREMENT | OWNER=Procurement &amp; Subcontracts | RISK=NONE | REG=Boeing Corporate GP1 Standard</w:t>
      </w:r>
    </w:p>
    <w:p>
      <w:r>
        <w:t>9.1 Buyer's Authorized Procurement Representative may at any time, by written order, direct changes within the general scope of this Contract in drawings, designs, specifications, or delivery schedules.</w:t>
      </w:r>
    </w:p>
    <w:p>
      <w:pPr>
        <w:pStyle w:val="Heading2"/>
      </w:pPr>
      <w:r>
        <w:t>[GP1-12] GP1 §12.2 — Warranty &amp; FAA Source Inspection | SME_TEAM=ENGINEERING | OWNER=Engineering &amp; QA (FAA DER) | RISK=HIGH | REG=FAA 14 CFR Part 21 Lockout</w:t>
      </w:r>
    </w:p>
    <w:p>
      <w:r>
        <w:t>12.2 Seller warrants all Goods against defects in material, workmanship, and avionics firmware for thirty-six (36) months from initial aircraft delivery to Boeing's airline customer. Boeing and FAA representatives may conduct unannounced source inspections at Seller's facility at any time to verify AS9100 Rev D and FAA 14 CFR Part 21 production airworthiness compliance.</w:t>
      </w:r>
    </w:p>
    <w:p>
      <w:pPr>
        <w:pStyle w:val="Heading2"/>
      </w:pPr>
      <w:r>
        <w:t>[GP1-15] GP1 §15.1 — Termination for Convenience | SME_TEAM=LEGAL | OWNER=Corporate Legal &amp; Commercial | RISK=NONE | REG=FAR 52.249-2 Aligned</w:t>
      </w:r>
    </w:p>
    <w:p>
      <w:r>
        <w:t>15.1 Buyer may terminate all or any part of this Contract for convenience by written notice to Seller. Seller shall immediately stop all terminated work and mitigate termination settlement costs.</w:t>
      </w:r>
    </w:p>
    <w:p>
      <w:pPr>
        <w:pStyle w:val="Heading2"/>
      </w:pPr>
      <w:r>
        <w:t>[GP1-19] GP1 §19 &amp; §24 — Limitation of Liability &amp; IP Indemnity | SME_TEAM=LEGAL | OWNER=Corporate Legal &amp; IP | RISK=CRITICAL | REG=Corporate Legal Playbook Tier-1</w:t>
      </w:r>
    </w:p>
    <w:p>
      <w:r>
        <w:t>19.1 Seller's liability for direct damages, line-stoppage, and airworthiness recall costs shall be uncapped. 24.1 Seller shall indemnify Boeing against all third-party intellectual property infringement claims including system-level avionics bus integration.</w:t>
      </w:r>
    </w:p>
    <w:p>
      <w:pPr>
        <w:pStyle w:val="Heading2"/>
      </w:pPr>
      <w:r>
        <w:t>[GP1-28] GP1 §28.1 — Governing Law &amp; Dispute Resolution | SME_TEAM=LEGAL | OWNER=Corporate Legal | RISK=NONE | REG=Delaware / Washington Law Standard</w:t>
      </w:r>
    </w:p>
    <w:p>
      <w:r>
        <w:t>28.1 This Contract and all disputes arising hereunder shall be governed by and construed in accordance with the laws of the State of Delaware, excluding its conflict of laws rules.</w:t>
      </w:r>
    </w:p>
    <w:p>
      <w:pPr>
        <w:pStyle w:val="Heading2"/>
      </w:pPr>
      <w:r>
        <w:t>[SP3-02] SP3 §2.1 — Export Compliance (ITAR &amp; EAR) | SME_TEAM=TAX | OWNER=Global Trade Controls | RISK=NONE | REG=22 CFR 120-130 (ITAR) / 15 CFR 730-774 (EAR)</w:t>
      </w:r>
    </w:p>
    <w:p>
      <w:r>
        <w:t>2.1 Seller shall comply with all applicable U.S. export control laws and regulations, including the International Traffic in Arms Regulations (ITAR) and Export Administration Regulations (EAR).</w:t>
      </w:r>
    </w:p>
    <w:p>
      <w:pPr>
        <w:pStyle w:val="Heading2"/>
      </w:pPr>
      <w:r>
        <w:t>[SP3-04] SP3 §4.1 — Customs, Duties &amp; International Tariffs | SME_TEAM=TAX | OWNER=Global Tax &amp; Trade | RISK=MOD | REG=Cross-Clause SOW §3.1 Dependency</w:t>
      </w:r>
    </w:p>
    <w:p>
      <w:r>
        <w:t>4.1 All unit prices are DDP (Incoterms 2020) Boeing Everett/Renton facility and inclusive of all import duties, customs fees, and tariffs.</w:t>
      </w:r>
    </w:p>
    <w:p>
      <w:pPr>
        <w:pStyle w:val="Heading2"/>
      </w:pPr>
      <w:r>
        <w:t>[SP5-03] SP5 §3.2 — Cybersecurity Incident Reporting (DFARS) | SME_TEAM=CYBER | OWNER=Supplier Cyber Defense | RISK=HIGH | REG=DFARS 252.204-7012 Lockout</w:t>
      </w:r>
    </w:p>
    <w:p>
      <w:r>
        <w:t>3.2 Seller shall maintain NIST SP 800-171 controls and report any cybersecurity incident affecting Boeing Covered Defense Information or technical data within seventy-two (72) hours of discovery, and provide forensic log images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