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BA-2026-LG-7740 | Supplier: Meridian Landing Gear Corp. (Tier-1 Structural &amp; Landing Gear) | Program: 787-10 Titanium Main Landing Gear Assemblies (TLG-800) | Value: $52,000,000.00 (Firm-Fixed-Price (FFP) — $45,000,000 Ceiling) | Status: IN_SME_REVIEW | Generated UTC: 2026-10-20T23:15:27Z</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BA-2026-LG-7740</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Meridian Landing Gear Corp.</w:t>
            </w:r>
          </w:p>
        </w:tc>
      </w:tr>
      <w:tr>
        <w:tc>
          <w:tcPr>
            <w:tcW w:type="dxa" w:w="4320"/>
          </w:tcPr>
          <w:p>
            <w:r>
              <w:t>Supplier Tier</w:t>
            </w:r>
          </w:p>
        </w:tc>
        <w:tc>
          <w:tcPr>
            <w:tcW w:type="dxa" w:w="4320"/>
          </w:tcPr>
          <w:p>
            <w:r>
              <w:t>Tier-1 Structural &amp; Landing Gear</w:t>
            </w:r>
          </w:p>
        </w:tc>
      </w:tr>
      <w:tr>
        <w:tc>
          <w:tcPr>
            <w:tcW w:type="dxa" w:w="4320"/>
          </w:tcPr>
          <w:p>
            <w:r>
              <w:t>Aircraft Program</w:t>
            </w:r>
          </w:p>
        </w:tc>
        <w:tc>
          <w:tcPr>
            <w:tcW w:type="dxa" w:w="4320"/>
          </w:tcPr>
          <w:p>
            <w:r>
              <w:t>787-10 Titanium Main Landing Gear Assemblies (TLG-800)</w:t>
            </w:r>
          </w:p>
        </w:tc>
      </w:tr>
      <w:tr>
        <w:tc>
          <w:tcPr>
            <w:tcW w:type="dxa" w:w="4320"/>
          </w:tcPr>
          <w:p>
            <w:r>
              <w:t>Contract Value (USD)</w:t>
            </w:r>
          </w:p>
        </w:tc>
        <w:tc>
          <w:tcPr>
            <w:tcW w:type="dxa" w:w="4320"/>
          </w:tcPr>
          <w:p>
            <w:r>
              <w:t>$52,000,000.00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IN_SME_REVIEW</w:t>
            </w:r>
          </w:p>
        </w:tc>
      </w:tr>
      <w:tr>
        <w:tc>
          <w:tcPr>
            <w:tcW w:type="dxa" w:w="4320"/>
          </w:tcPr>
          <w:p>
            <w:r>
              <w:t>Clause Breakdown</w:t>
            </w:r>
          </w:p>
        </w:tc>
        <w:tc>
          <w:tcPr>
            <w:tcW w:type="dxa" w:w="4320"/>
          </w:tcPr>
          <w:p>
            <w:r>
              <w:t>12 Total | 8 Auto-Cleared | 4 Redlined</w:t>
            </w:r>
          </w:p>
        </w:tc>
      </w:tr>
      <w:tr>
        <w:tc>
          <w:tcPr>
            <w:tcW w:type="dxa" w:w="4320"/>
          </w:tcPr>
          <w:p>
            <w:r>
              <w:t>SharePoint Deal Room</w:t>
            </w:r>
          </w:p>
        </w:tc>
        <w:tc>
          <w:tcPr>
            <w:tcW w:type="dxa" w:w="4320"/>
          </w:tcPr>
          <w:p>
            <w:r>
              <w:t>https://36zrbd.sharepoint.com/sites/CymbalAerospace/Shared%20Documents/BA-2026-AV-8921</w:t>
            </w:r>
          </w:p>
        </w:tc>
      </w:tr>
      <w:tr>
        <w:tc>
          <w:tcPr>
            <w:tcW w:type="dxa" w:w="4320"/>
          </w:tcPr>
          <w:p>
            <w:r>
              <w:t>Generated Timestamp (UTC)</w:t>
            </w:r>
          </w:p>
        </w:tc>
        <w:tc>
          <w:tcPr>
            <w:tcW w:type="dxa" w:w="4320"/>
          </w:tcPr>
          <w:p>
            <w:r>
              <w:t>2026-10-20T23:15:27Z</w:t>
            </w:r>
          </w:p>
        </w:tc>
      </w:tr>
    </w:tbl>
    <w:p>
      <w:pPr>
        <w:pStyle w:val="Heading2"/>
      </w:pPr>
      <w:r>
        <w:t>GP1 §1.1 — Definitions &amp; Order of Precedence</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 §3.1 — Firm-Fixed-Price SOW Cap &amp; Pricing Integrity</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 §5.2 — Packing, Marking &amp; Aerospace Preservation</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 §7.1 — Quality Management System (AS9100 Rev D)</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 §9.1 — Changes &amp; Equitable Adjustment</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 §12.2 — Warranty &amp; FAA Source Inspection [✓ ACCEPTED BY Megan Bowen]</w:t>
      </w:r>
    </w:p>
    <w:p>
      <w:commentRangeStart w:id="1"/>
      <w:del w:id="201" w:author="Megan Bowen" w:date="2026-10-20T23:15:27Z">
        <w:r>
          <w:delText xml:space="preserve">12.2 (a) Airworthiness &amp; Hardware/Firmware Warranty: Seller warrants all Goods, including `FCC-900` flight control hardware, triplex voting channels, and embedded `DO-178C DAL-A` avionics firmware, to be free from defects in design, material, and workmanship for twelve (12) months from factory shipment, and Seller shall repair or replace defective flight-critical LRUs on an Aircraft-on-Ground (`AOG`) 24-hour turnaround basis at Seller's expense. (b) Regulatory Source Surveillance: Cymbal Aerospace and Federal Aviation Administration (`FAA`) representatives may conduct scheduled inspections upon thirty (30) days prior written notice to verify `AS9100 Rev D` quality compliance, `FAA 14 CFR Part 21.140` production certificate airworthiness conformity, and sub-tier test bench calibration records.</w:delText>
        </w:r>
      </w:del>
      <w:ins w:id="202" w:author="Megan Bowen" w:date="2026-10-20T23:15:27Z">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ins>
      <w:commentRangeEnd w:id="1"/>
      <w:r>
        <w:commentReference w:id="1"/>
      </w:r>
    </w:p>
    <w:p>
      <w:pPr>
        <w:pStyle w:val="Heading2"/>
      </w:pPr>
      <w:r>
        <w:t>GP1 §15.1 — Termination for Convenience</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 §19 &amp; §24 — Limitation of Liability &amp; IP Indemnity [⏳ PENDING REVIEW]</w:t>
      </w:r>
    </w:p>
    <w:p>
      <w:commentRangeStart w:id="2"/>
      <w:del w:id="203" w:author="Miriam Graham" w:date="2026-10-20T23:15:27Z">
        <w:r>
          <w:delTex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not exceed one hundred percent (100%) of the total Purchase Order value ($45M).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 except where such claim arises from combination of Goods with any Cymbal Aerospace or third-party flight control bus, and if any `FCC-900` unit is enjoined, Seller shall at its sole expense procure a perpetual royalty-free license or re-architect the infringing avionics module to maintain FAA type-design airworthiness.</w:delText>
        </w:r>
      </w:del>
      <w:ins w:id="204" w:author="Miriam Graham" w:date="2026-10-20T23:15:27Z">
        <w:r>
          <w:t xml:space="preserve">19.1 Seller's aggregate liability for general direct commercial damages arising out of or related to this Contract shall not exceed two hundred percent (200% / 2.0x) of the total Purchase Order value ($104,000,000), or 1.5x ($78,000,000) with a 2.5x ($130,000,000) Super-Cap, excluding (a) breaches of confidentiality or DFARS cybersecurity obligations, (b) gross negligence or willful misconduct, (c) Airworthiness Directive (AD) or flight-safety recall costs, and (d) Seller's Section 24 intellectual property indemnification obligations (for which liability remains uncapped).</w:t>
        </w:r>
      </w:ins>
      <w:commentRangeEnd w:id="2"/>
      <w:r>
        <w:commentReference w:id="2"/>
      </w:r>
    </w:p>
    <w:p>
      <w:pPr>
        <w:pStyle w:val="Heading2"/>
      </w:pPr>
      <w:r>
        <w:t>GP1 §28.1 — Governing Law &amp; Dispute Resolution</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 §2.1 — Export Compliance (ITAR &amp;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 §4.1 — Customs, Duties &amp; International Tariffs [✓ ACCEPTED BY Pradeep Gupta]</w:t>
      </w:r>
    </w:p>
    <w:p>
      <w:commentRangeStart w:id="3"/>
      <w:del w:id="205" w:author="Pradeep Gupta" w:date="2026-10-20T23:15:27Z">
        <w:r>
          <w:delTex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exclusive of any new or increased Section 232/301 tariffs on titanium forgings or semiconductor wafers exceeding five percent (5%), which shall be passed through 100% to Cymbal Aerospace, and Seller shall cooperate with Buyer's Global Trade team on U.S. CBP duty drawback documentation.</w:delText>
        </w:r>
      </w:del>
      <w:ins w:id="206" w:author="Pradeep Gupta" w:date="2026-10-20T23:15:27Z">
        <w:r>
          <w:t xml:space="preserve">4.1 (a) Importer of Record: Seller shall act as Importer of Record for all imported titanium forgings. (b) Tariff Allocation: All unit prices in Schedule A are DDP Everett/Charleston facility. Any verified new Section 232/301 tariff increase exceeding 5.0% on aerospace titanium forgings shall be shared 50/50 between Buyer and Seller, strictly capped at a maximum aggregate adjustment of 2.0% ($1,040,000) of the GP1 §3.1 Firm-Fixed-Price SOW ceiling ($52,000,000).</w:t>
        </w:r>
      </w:ins>
      <w:commentRangeEnd w:id="3"/>
      <w:r>
        <w:commentReference w:id="3"/>
      </w:r>
    </w:p>
    <w:p>
      <w:pPr>
        <w:pStyle w:val="Heading2"/>
      </w:pPr>
      <w:r>
        <w:t>SP5 §3.2 — Cybersecurity Incident Reporting (DFARS) [✓ ACCEPTED BY Alex Wilber]</w:t>
      </w:r>
    </w:p>
    <w:p>
      <w:commentRangeStart w:id="4"/>
      <w:del w:id="207" w:author="Alex Wilber" w:date="2026-10-20T23:15:27Z">
        <w:r>
          <w:delTex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ten (10) business days following confirmation of a material breach, preserve affected system media for ninety (90) days, and provide raw forensic log images and malware telemetry upon request.</w:delText>
        </w:r>
      </w:del>
      <w:ins w:id="208" w:author="Alex Wilber" w:date="2026-10-20T23:15:27Z">
        <w:r>
          <w:t xml:space="preserve">3.2 Cyber Incident Reporting &amp; Forensic Preservation (DFARS 252.204-7012): Seller shall report any suspected or confirmed cybersecurity incident affecting Covered Defense Information (CDI), flight-critical technical data, or development networks to Cymbal Aerospace CSOC and the DoD DIBNet portal within seventy-two (72) hours of discovery. Seller shall immediately isolate affected systems, preserve raw packet captures and forensic disk images for at least ninety (90) days, and provide Cymbal Aerospace cybersecurity investigators direct access to unredacted forensic logs upon request.</w:t>
        </w:r>
      </w:ins>
      <w:commentRangeEnd w:id="4"/>
      <w: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gan Bowen" w:date="2026-10-20T23:15:27Z">
    <w:p>
      <w:r>
        <w:t>Megan Bowen (Lead Airworthiness &amp; QA DER): Approved Hold Firm — 36-month warranty from aircraft delivery and unannounced FAA 14 CFR Part 21.140 source inspection are non-waivable for primary landing gear forgings.</w:t>
      </w:r>
    </w:p>
  </w:comment>
  <w:comment w:id="2" w:author="Miriam Graham" w:date="2026-10-20T23:15:27Z">
    <w:p>
      <w:r>
        <w:t>Miriam Graham (VP Legal &amp; IP): Recommended Tier-1 Super-Cap (2.0x / $104M or 1.5x / $78M floor) with mandatory uncapped carveouts for IP indemnity and flight-safety AD recalls — ready for Contract Owner final sign-off.</w:t>
      </w:r>
    </w:p>
  </w:comment>
  <w:comment w:id="3" w:author="Pradeep Gupta" w:date="2026-10-20T23:15:27Z">
    <w:p>
      <w:r>
        <w:t>Pradeep Gupta (Director, Global Tax &amp; Trade): Approved Tier-1 50/50 tariff-sharing band above 5.0% threshold, strictly capped at +2.0% ($1,040,000) of the $52M Firm-Fixed-Price SOW.</w:t>
      </w:r>
    </w:p>
  </w:comment>
  <w:comment w:id="4" w:author="Alex Wilber" w:date="2026-10-20T23:15:27Z">
    <w:p>
      <w:r>
        <w:t>Alex Wilber (CISO Lead, Supplier Cyber Defense): Approved Hold Firm on mandatory 72-hour DFARS 252.204-7012 cyber incident reporting and 90-day raw forensic image preservation.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Counter-Proposal — BA-2026-LG-7740</dc:title>
  <dc:subject/>
  <dc:creator>Rahul Kasanagottu</dc:creator>
  <cp:keywords/>
  <dc:description>generated by python-docx</dc:description>
  <cp:lastModifiedBy/>
  <cp:revision>1</cp:revision>
  <dcterms:created xsi:type="dcterms:W3CDTF">2026-10-20T23:15:27Z</dcterms:created>
  <dcterms:modified xsi:type="dcterms:W3CDTF">2026-10-20T23:15:27Z</dcterms:modified>
  <cp:category/>
</cp:coreProperties>
</file>