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CYMBAL AEROSPACE CORPORATION — CONSOLIDATED COUNTER-PROPOSAL CONTRACT (GP1 / SP3 / SP5)</w:t>
      </w:r>
    </w:p>
    <w:p>
      <w:r>
        <w:t>Deal ID: BA-2026-TR-5510 | Supplier: Vanguard Thrust Systems Corp. (Tier-1 Actuation &amp; Propulsion) | Program: 777X / 787 Thrust Reverser Actuators (TRA-500) | Value: $38,000,000.00 (Firm-Fixed-Price (FFP) — $45,000,000 Ceiling) | Status: CONFLICT_DETECTED | Generated UTC: 2026-10-22T00:15:41Z</w:t>
      </w:r>
    </w:p>
    <w:tbl>
      <w:tblPr>
        <w:tblW w:type="auto" w:w="0"/>
        <w:tblLook w:firstColumn="1" w:firstRow="1" w:lastColumn="0" w:lastRow="0" w:noHBand="0" w:noVBand="1" w:val="04A0"/>
      </w:tblPr>
      <w:tblGrid>
        <w:gridCol w:w="4320"/>
        <w:gridCol w:w="4320"/>
      </w:tblGrid>
      <w:tr>
        <w:tc>
          <w:tcPr>
            <w:tcW w:type="dxa" w:w="4320"/>
          </w:tcPr>
          <w:p>
            <w:r>
              <w:t>Deal ID</w:t>
            </w:r>
          </w:p>
        </w:tc>
        <w:tc>
          <w:tcPr>
            <w:tcW w:type="dxa" w:w="4320"/>
          </w:tcPr>
          <w:p>
            <w:r>
              <w:t>BA-2026-TR-5510</w:t>
            </w:r>
          </w:p>
        </w:tc>
      </w:tr>
      <w:tr>
        <w:tc>
          <w:tcPr>
            <w:tcW w:type="dxa" w:w="4320"/>
          </w:tcPr>
          <w:p>
            <w:r>
              <w:t>Buyer (Prime OEM)</w:t>
            </w:r>
          </w:p>
        </w:tc>
        <w:tc>
          <w:tcPr>
            <w:tcW w:type="dxa" w:w="4320"/>
          </w:tcPr>
          <w:p>
            <w:r>
              <w:t>Cymbal Aerospace Corporation</w:t>
            </w:r>
          </w:p>
        </w:tc>
      </w:tr>
      <w:tr>
        <w:tc>
          <w:tcPr>
            <w:tcW w:type="dxa" w:w="4320"/>
          </w:tcPr>
          <w:p>
            <w:r>
              <w:t>Supplier Name</w:t>
            </w:r>
          </w:p>
        </w:tc>
        <w:tc>
          <w:tcPr>
            <w:tcW w:type="dxa" w:w="4320"/>
          </w:tcPr>
          <w:p>
            <w:r>
              <w:t>Vanguard Thrust Systems Corp.</w:t>
            </w:r>
          </w:p>
        </w:tc>
      </w:tr>
      <w:tr>
        <w:tc>
          <w:tcPr>
            <w:tcW w:type="dxa" w:w="4320"/>
          </w:tcPr>
          <w:p>
            <w:r>
              <w:t>Supplier Tier</w:t>
            </w:r>
          </w:p>
        </w:tc>
        <w:tc>
          <w:tcPr>
            <w:tcW w:type="dxa" w:w="4320"/>
          </w:tcPr>
          <w:p>
            <w:r>
              <w:t>Tier-1 Actuation &amp; Propulsion</w:t>
            </w:r>
          </w:p>
        </w:tc>
      </w:tr>
      <w:tr>
        <w:tc>
          <w:tcPr>
            <w:tcW w:type="dxa" w:w="4320"/>
          </w:tcPr>
          <w:p>
            <w:r>
              <w:t>Aircraft Program</w:t>
            </w:r>
          </w:p>
        </w:tc>
        <w:tc>
          <w:tcPr>
            <w:tcW w:type="dxa" w:w="4320"/>
          </w:tcPr>
          <w:p>
            <w:r>
              <w:t>777X / 787 Thrust Reverser Actuators (TRA-500)</w:t>
            </w:r>
          </w:p>
        </w:tc>
      </w:tr>
      <w:tr>
        <w:tc>
          <w:tcPr>
            <w:tcW w:type="dxa" w:w="4320"/>
          </w:tcPr>
          <w:p>
            <w:r>
              <w:t>Contract Value (USD)</w:t>
            </w:r>
          </w:p>
        </w:tc>
        <w:tc>
          <w:tcPr>
            <w:tcW w:type="dxa" w:w="4320"/>
          </w:tcPr>
          <w:p>
            <w:r>
              <w:t>$38,000,000.00</w:t>
            </w:r>
          </w:p>
        </w:tc>
      </w:tr>
      <w:tr>
        <w:tc>
          <w:tcPr>
            <w:tcW w:type="dxa" w:w="4320"/>
          </w:tcPr>
          <w:p>
            <w:r>
              <w:t>Pricing Model &amp; SOW Lock</w:t>
            </w:r>
          </w:p>
        </w:tc>
        <w:tc>
          <w:tcPr>
            <w:tcW w:type="dxa" w:w="4320"/>
          </w:tcPr>
          <w:p>
            <w:r>
              <w:t>Firm-Fixed-Price (FFP) — $45,000,000 Ceiling (GP1 §3.1)</w:t>
            </w:r>
          </w:p>
        </w:tc>
      </w:tr>
      <w:tr>
        <w:tc>
          <w:tcPr>
            <w:tcW w:type="dxa" w:w="4320"/>
          </w:tcPr>
          <w:p>
            <w:r>
              <w:t>Proforma Stack</w:t>
            </w:r>
          </w:p>
        </w:tc>
        <w:tc>
          <w:tcPr>
            <w:tcW w:type="dxa" w:w="4320"/>
          </w:tcPr>
          <w:p>
            <w:r>
              <w:t>Cymbal GP1 (General Provisions) + SP3 (International/Tax) + SP5 (Cyber/DFARS)</w:t>
            </w:r>
          </w:p>
        </w:tc>
      </w:tr>
      <w:tr>
        <w:tc>
          <w:tcPr>
            <w:tcW w:type="dxa" w:w="4320"/>
          </w:tcPr>
          <w:p>
            <w:r>
              <w:t>Review Status</w:t>
            </w:r>
          </w:p>
        </w:tc>
        <w:tc>
          <w:tcPr>
            <w:tcW w:type="dxa" w:w="4320"/>
          </w:tcPr>
          <w:p>
            <w:r>
              <w:t>CONFLICT_DETECTED</w:t>
            </w:r>
          </w:p>
        </w:tc>
      </w:tr>
      <w:tr>
        <w:tc>
          <w:tcPr>
            <w:tcW w:type="dxa" w:w="4320"/>
          </w:tcPr>
          <w:p>
            <w:r>
              <w:t>Clause Breakdown</w:t>
            </w:r>
          </w:p>
        </w:tc>
        <w:tc>
          <w:tcPr>
            <w:tcW w:type="dxa" w:w="4320"/>
          </w:tcPr>
          <w:p>
            <w:r>
              <w:t>12 Total | 7 Auto-Cleared | 5 Redlined</w:t>
            </w:r>
          </w:p>
        </w:tc>
      </w:tr>
      <w:tr>
        <w:tc>
          <w:tcPr>
            <w:tcW w:type="dxa" w:w="4320"/>
          </w:tcPr>
          <w:p>
            <w:r>
              <w:t>SharePoint Deal Room</w:t>
            </w:r>
          </w:p>
        </w:tc>
        <w:tc>
          <w:tcPr>
            <w:tcW w:type="dxa" w:w="4320"/>
          </w:tcPr>
          <w:p>
            <w:r>
              <w:t>https://36zrbd.sharepoint.com/sites/CymbalAerospace/Shared%20Documents/BA-2026-AV-8921</w:t>
            </w:r>
          </w:p>
        </w:tc>
      </w:tr>
      <w:tr>
        <w:tc>
          <w:tcPr>
            <w:tcW w:type="dxa" w:w="4320"/>
          </w:tcPr>
          <w:p>
            <w:r>
              <w:t>Generated Timestamp (UTC)</w:t>
            </w:r>
          </w:p>
        </w:tc>
        <w:tc>
          <w:tcPr>
            <w:tcW w:type="dxa" w:w="4320"/>
          </w:tcPr>
          <w:p>
            <w:r>
              <w:t>2026-10-22T00:15:41Z</w:t>
            </w:r>
          </w:p>
        </w:tc>
      </w:tr>
    </w:tbl>
    <w:p>
      <w:pPr>
        <w:pStyle w:val="Heading2"/>
      </w:pPr>
      <w:r>
        <w:t>GP1 §1.1 — Definitions &amp; Order of Precedence</w:t>
      </w:r>
    </w:p>
    <w:p>
      <w:r>
        <w:t xml:space="preserve">1.1 (a) Definitions: "Buyer" means Cymbal Aerospace Corporation or its wholly-owned aerospace subsidiary identified on the face of the Master Purchase Agreement (`BA-2026-AV-8921`). "Seller" means Apex AeroSystems Inc. or the legal entity furnishing Goods and flight-critical software hereunder. "Goods" means the Triple-Redundant Fly-By-Wire Flight Control Computers (`FCC-900`), Line Replaceable Units (`LRUs`), embedded DAL-A flight control firmware, and associated technical deliverables specified in Statement of Work (`SOW-AV-8921`) Schedule A. (b) Order of Precedence: In the event of any ambiguity or inconsistency among Contract documents, Special Provisions (`SP3` International &amp; Tariff Provisions and `SP5` Cybersecurity &amp; Defense Provisions) shall take precedence over these General Provisions (`GP1`), expressly excluding the Firm-Fixed-Price (`FFP`) unit price locks and $45,000,000 aggregate ceiling set forth in GP1 §3.1 and SOW Schedule A, which shall govern over any conflicting Special Provision unless modified by a formal bilateral Change Order.</w:t>
      </w:r>
    </w:p>
    <w:p>
      <w:pPr>
        <w:pStyle w:val="Heading2"/>
      </w:pPr>
      <w:r>
        <w:t>GP1 §3.1 — Firm-Fixed-Price SOW Cap &amp; Pricing Integrity [⏳ PENDING REVIEW]</w:t>
      </w:r>
    </w:p>
    <w:p>
      <w:commentRangeStart w:id="1"/>
      <w:del w:id="201" w:author="Diego Siciliani" w:date="2026-10-22T00:15:41Z">
        <w:r>
          <w:delText xml:space="preserve">3.1 Firm-Fixed-Price (FFP) Ceiling: Total Contract price for all Thrust Reverser Actuator (TRA-500) shipsets under Schedule A is thirty-eight million U.S. dollars ($38,000,000.00) Firm-Fixed-Price (FFP). No commercial unit-price adjustments or liability-linked discounts are permitted without joint written approval of Procurement and Corporate Legal.</w:delText>
        </w:r>
      </w:del>
      <w:ins w:id="202" w:author="Diego Siciliani" w:date="2026-10-22T00:15:41Z">
        <w:r>
          <w:t xml:space="preserve">3.1 Firm-Fixed-Price &amp; Commercial Cap Trade-Off Discount: Total Contract price under Schedule A reflects a 3.5% ($1,330,000.00) commercial unit-price discount (net $36,670,000.00 FFP), granted by Seller in consideration of Buyer's agreement in GP1 §19 to reduce Seller's General Liability Cap to 1.0x ($38,000,000.00) of Purchase Order value.</w:t>
        </w:r>
      </w:ins>
      <w:commentRangeEnd w:id="1"/>
      <w:r>
        <w:commentReference w:id="1"/>
      </w:r>
    </w:p>
    <w:p>
      <w:pPr>
        <w:pStyle w:val="Heading2"/>
      </w:pPr>
      <w:r>
        <w:t>GP1 §5.2 — Packing, Marking &amp; Aerospace Preservation</w:t>
      </w:r>
    </w:p>
    <w:p>
      <w:r>
        <w:t xml:space="preserve">5.2 (a) Flight-Critical Avionics Preservation: Seller shall clean, preserve, pack, mark, and ship all `FCC-900` Flight Control Computer LRUs in strict accordance with Cymbal Aerospace Supplier Packaging Specification `D6-81628` and Air Transport Association (`ATA`) Spec 300 Category I reusable container and MIL-STD-1686 Class 1 electro-static discharge (`ESD`) protection standards. (b) Traceability &amp; Barcoding: Each individual LRU chassis and exterior shipping container shall bear permanent UID/GS1-128 serialized barcoding, shock-watch and tilt-indicator telemetry seals, desiccant humidity indicators, and an enclosed FAA Form 8130-3 Authorized Release Certificate. Any shipment arriving with tripped shock indicators or breached ESD shielding shall be rejected at Seller's sole expense.</w:t>
      </w:r>
    </w:p>
    <w:p>
      <w:pPr>
        <w:pStyle w:val="Heading2"/>
      </w:pPr>
      <w:r>
        <w:t>GP1 §7.1 — Quality Management System (AS9100 Rev D)</w:t>
      </w:r>
    </w:p>
    <w:p>
      <w:r>
        <w:t xml:space="preserve">7.1 (a) Accredited Aerospace QMS: Seller shall establish and maintain an IAQG-accredited `AS9100 Rev D` Quality Management System, `RTCA DO-178C` Design Assurance Level A (`DAL-A`) software lifecycle compliance, `RTCA DO-254` complex electronic hardware assurance, and Cymbal Aerospace Quality Management System Requirements for Suppliers (`D6-82479`) throughout Contract performance. (b) First Article Inspection &amp; Sub-Tier Flowdown: Prior to initial production lot delivery, Seller shall complete a full `AS9102` First Article Inspection Report (`FAIR`) witnessed by Buyer's Supplier Quality Representative and shall flow down identical AS9100 Rev D and counterfeit electronic part avoidance (`AS5553`) controls to all sub-tier wafer foundries and forging sub-contractors.</w:t>
      </w:r>
    </w:p>
    <w:p>
      <w:pPr>
        <w:pStyle w:val="Heading2"/>
      </w:pPr>
      <w:r>
        <w:t>GP1 §9.1 — Changes &amp; Equitable Adjustment</w:t>
      </w:r>
    </w:p>
    <w:p>
      <w:r>
        <w:t xml:space="preserve">9.1 (a) Directed Engineering &amp; Schedule Changes: Buyer's Authorized Procurement Representative may at any time, by written Change Order without notice to sureties, direct changes within the general scope of this Contract in (i) drawings, avionics bus interface control documents (`ICDs`), or technical specifications, (ii) method of shipment or aerospace preservation, or (iii) place and schedule of delivery. Seller shall proceed immediately with performance of the Contract as changed. (b) Equitable Adjustment Claims: If any directed change under §9.1(a) causes a verified increase or decrease in the cost of or time required for performance, Seller must assert any claim for equitable adjustment in writing within thirty (30) calendar days from receipt of the written Change Order, supported by certified cost and pricing data.</w:t>
      </w:r>
    </w:p>
    <w:p>
      <w:pPr>
        <w:pStyle w:val="Heading2"/>
      </w:pPr>
      <w:r>
        <w:t>GP1 §12.2 — Warranty &amp; FAA Source Inspection [✓ ACCEPTED BY Megan Bowen]</w:t>
      </w:r>
    </w:p>
    <w:p>
      <w:commentRangeStart w:id="2"/>
      <w:del w:id="203" w:author="Megan Bowen" w:date="2026-10-22T00:15:41Z">
        <w:r>
          <w:delText xml:space="preserve">12.2 (a) Airworthiness &amp; Hardware/Firmware Warranty: Seller warrants all Goods, including `FCC-900` flight control hardware, triplex voting channels, and embedded `DO-178C DAL-A` avionics firmware, to be free from defects in design, material, and workmanship for twelve (12) months from factory shipment, and Seller shall repair or replace defective flight-critical LRUs on an Aircraft-on-Ground (`AOG`) 24-hour turnaround basis at Seller's expense. (b) Regulatory Source Surveillance: Cymbal Aerospace and Federal Aviation Administration (`FAA`) representatives may conduct scheduled inspections upon thirty (30) days prior written notice to verify `AS9100 Rev D` quality compliance, `FAA 14 CFR Part 21.140` production certificate airworthiness conformity, and sub-tier test bench calibration records.</w:delText>
        </w:r>
      </w:del>
      <w:ins w:id="204" w:author="Megan Bowen" w:date="2026-10-22T00:15:41Z">
        <w:r>
          <w:t xml:space="preserve">12.2 (a) Airworthiness &amp; Hardware/Firmware Warranty: Seller warrants all Goods, including FCC-900 flight control hardware, triplex voting channels, and embedded DO-178C DAL-A avionics firmware, to be free from defects in design, material, and workmanship for thirty-six (36) months from initial aircraft delivery to Cymbal Aerospace's airline customer, and Seller shall repair or replace defective flight-critical LRUs on an Aircraft-on-Ground (AOG) 24-hour turnaround basis at Seller's expense. (b) Regulatory Source Surveillance: Cymbal Aerospace and Federal Aviation Administration (FAA) representatives may conduct unannounced source inspections at Seller's facility at any time to verify AS9100 Rev D quality compliance, FAA 14 CFR Part 21.140 production certificate airworthiness conformity, and sub-tier test bench calibration records.</w:t>
        </w:r>
      </w:ins>
      <w:commentRangeEnd w:id="2"/>
      <w:r>
        <w:commentReference w:id="2"/>
      </w:r>
    </w:p>
    <w:p>
      <w:pPr>
        <w:pStyle w:val="Heading2"/>
      </w:pPr>
      <w:r>
        <w:t>GP1 §15.1 — Termination for Convenience</w:t>
      </w:r>
    </w:p>
    <w:p>
      <w:r>
        <w:t xml:space="preserve">15.1 (a) Unilateral Right to Terminate: Buyer may terminate all or any severable portion of this Contract for convenience at any time by written notice of termination to Seller. Upon receipt of such notice, Seller shall immediately stop all terminated work, place no further sub-tier purchase orders for raw materials or semiconductors, and protect all property in which Buyer has or may acquire an interest. (b) Termination Settlement &amp; Cap: Seller's sole recovery upon termination for convenience, aligned with `FAR 52.249-2` principles, shall be limited to documented actual costs incurred for work-in-process prior to termination notice plus a reasonable profit on completed work, never to exceed the terminated portion of the GP1 §3.1 Firm-Fixed-Price Contract value, with zero recovery for anticipatory or consequential profits.</w:t>
      </w:r>
    </w:p>
    <w:p>
      <w:pPr>
        <w:pStyle w:val="Heading2"/>
      </w:pPr>
      <w:r>
        <w:t>GP1 §19 &amp; §24 — Limitation of Liability &amp; IP Indemnity [⏳ PENDING REVIEW]</w:t>
      </w:r>
    </w:p>
    <w:p>
      <w:commentRangeStart w:id="3"/>
      <w:del w:id="205" w:author="Miriam Graham" w:date="2026-10-22T00:15:41Z">
        <w:r>
          <w:delText xml:space="preserve">19.1 Per the GP1 §3.1 Commercial Cap Trade-Off Discount (3.5% unit-price reduction approved by Finance), Seller's total aggregate liability for all claims under this Contract is capped at 1.0x ($38,000,000) of Purchase Order value.</w:delText>
        </w:r>
      </w:del>
      <w:ins w:id="206" w:author="Miriam Graham" w:date="2026-10-22T00:15:41Z">
        <w:r>
          <w:t xml:space="preserve">19.1 Seller's aggregate liability for general direct commercial damages arising out of or related to this Contract shall not exceed one hundred fifty percent (150% / 1.5x) of total Purchase Order value ($57,000,000), with a 2.5x ($95,000,000) Super-Cap and uncapped carveouts for IP indemnification (§24), flight-safety Airworthiness Directives, and DFARS cybersecurity obligations. No commercial unit-price discount under GP1 §3.1 shall reduce Seller's liability cap below 1.5x PO value.</w:t>
        </w:r>
      </w:ins>
      <w:commentRangeEnd w:id="3"/>
      <w:r>
        <w:commentReference w:id="3"/>
      </w:r>
    </w:p>
    <w:p>
      <w:pPr>
        <w:pStyle w:val="Heading2"/>
      </w:pPr>
      <w:r>
        <w:t>GP1 §28.1 — Governing Law &amp; Dispute Resolution</w:t>
      </w:r>
    </w:p>
    <w:p>
      <w:r>
        <w:t xml:space="preserve">28.1 (a) Governing Law &amp; Exclusive Venue: This Contract and all claims, controversies, or disputes arising hereunder shall be governed by and construed in accordance with the substantive laws of the State of Delaware, excluding its conflict of laws rules and excluding the United Nations Convention on Contracts for the International Sale of Goods (`CISG`). Exclusive judicial venue shall lie in the state or federal courts located in Wilmington, Delaware or King County, Washington. (b) Continuity of Flight-Critical Supply: Pending final resolution of any dispute, claim, or Change Order valuation, Seller shall proceed diligently with uninterrupted manufacture, testing, and delivery of all `FCC-900` flight control units in accordance with Buyer's production schedule.</w:t>
      </w:r>
    </w:p>
    <w:p>
      <w:pPr>
        <w:pStyle w:val="Heading2"/>
      </w:pPr>
      <w:r>
        <w:t>SP3 §2.1 — Export Compliance (ITAR &amp; EAR)</w:t>
      </w:r>
    </w:p>
    <w:p>
      <w:r>
        <w:t xml:space="preserve">2.1 (a) Export Control Regulatory Compliance: Seller shall comply with all applicable U.S. export control laws and regulations, including the International Traffic in Arms Regulations (`ITAR`, 22 CFR Parts 120–130) and the Export Administration Regulations (`EAR`, 15 CFR Parts 730–774), covering dual-use flight control algorithms (`ECCN 7A994` / `7E994`) and defense technical data. (b) Export Classification &amp; Deemed Exports: Seller shall maintain active DDTC registration where applicable, furnish accurate ECCN/USML Commodity Jurisdiction classifications prior to first shipment, and prevent unauthorized deemed exports of Cymbal Aerospace technical data to foreign nationals without prior U.S. Department of State or Bureau of Industry and Security (`BIS`) authorization.</w:t>
      </w:r>
    </w:p>
    <w:p>
      <w:pPr>
        <w:pStyle w:val="Heading2"/>
      </w:pPr>
      <w:r>
        <w:t>SP3 §4.1 — Customs, Duties &amp; International Tariffs [✓ ACCEPTED BY Pradeep Gupta]</w:t>
      </w:r>
    </w:p>
    <w:p>
      <w:commentRangeStart w:id="4"/>
      <w:del w:id="207" w:author="Pradeep Gupta" w:date="2026-10-22T00:15:41Z">
        <w:r>
          <w:delText xml:space="preserve">4.1 (a) Importer of Record &amp; Customs Clearance: Seller shall act as Importer of Record for all imported sub-tier components, raw aerospace titanium forgings, and radiation-hardened semiconductor wafers. (b) Tariff &amp; Duty Allocation: All unit prices in Statement of Work (`SOW-AV-8921`) Schedule A are exclusive of any new or increased Section 232/301 tariffs on titanium forgings or semiconductor wafers exceeding five percent (5%), which shall be passed through 100% to Cymbal Aerospace, and Seller shall cooperate with Buyer's Global Trade team on U.S. CBP duty drawback documentation.</w:delText>
        </w:r>
      </w:del>
      <w:ins w:id="208" w:author="Pradeep Gupta" w:date="2026-10-22T00:15:41Z">
        <w:r>
          <w:t xml:space="preserve">4.1 (a) Importer of Record &amp; Customs Clearance: Seller shall act as Importer of Record for all imported sub-tier components, raw aerospace titanium forgings, and radiation-hardened semiconductor wafers. (b) Tariff &amp; Duty Allocation: All unit prices in Statement of Work (SOW-AV-8921) Schedule A are DDP (Incoterms 2020) Cymbal Aerospace Everett/Renton facility. Any verified new Section 232/301 tariff increase exceeding 5.0% on raw titanium forgings or semiconductor wafers shall be shared 50/50 between Cymbal Aerospace and Seller, strictly capped at a maximum aggregate adjustment of 2.0% ($900,000) of the GP1 §3.1 Firm-Fixed-Price SOW unit price.</w:t>
        </w:r>
      </w:ins>
      <w:commentRangeEnd w:id="4"/>
      <w:r>
        <w:commentReference w:id="4"/>
      </w:r>
    </w:p>
    <w:p>
      <w:pPr>
        <w:pStyle w:val="Heading2"/>
      </w:pPr>
      <w:r>
        <w:t>SP5 §3.2 — Cybersecurity Incident Reporting (DFARS) [✓ ACCEPTED BY Alex Wilber]</w:t>
      </w:r>
    </w:p>
    <w:p>
      <w:commentRangeStart w:id="5"/>
      <w:del w:id="209" w:author="Alex Wilber" w:date="2026-10-22T00:15:41Z">
        <w:r>
          <w:delText xml:space="preserve">3.2 (a) CUI Safeguards &amp; NIST SP 800-171 Rev 2 Compliance: Seller shall maintain an accredited Cybersecurity Maturity Model Certification (`CMMC 2.0 Level 2`) posture and implement all 110 security controls in `NIST SP 800-171 Rev 2` across all engineering networks storing or processing Cymbal Aerospace Covered Defense Information (`CDI`), Controlled Unclassified Information (`CUI`), or `FCC-900` flight control source code. (b) Mandatory Cyber Incident Reporting &amp; Forensics: Pursuant to `DoD DFARS 252.204-7012`, Seller shall report any cybersecurity incident affecting Cymbal Aerospace CDI or technical data to Buyer's Cyber Security Operations Center (`CSOC`) and the DoD DIBNet portal within ten (10) business days following confirmation of a material breach, preserve affected system media for ninety (90) days, and provide raw forensic log images and malware telemetry upon request.</w:delText>
        </w:r>
      </w:del>
      <w:ins w:id="210" w:author="Alex Wilber" w:date="2026-10-22T00:15:41Z">
        <w:r>
          <w:t xml:space="preserve">3.2 Cyber Incident Reporting &amp; Forensic Preservation (DFARS 252.204-7012): Seller shall report any suspected or confirmed cybersecurity incident affecting Covered Defense Information (CDI), flight-critical technical data, or development networks to Cymbal Aerospace CSOC and the DoD DIBNet portal within seventy-two (72) hours of discovery. Seller shall immediately isolate affected systems, preserve raw packet captures and forensic disk images for at least ninety (90) days, and provide Cymbal Aerospace cybersecurity investigators direct access to unredacted forensic logs upon request.</w:t>
        </w:r>
      </w:ins>
      <w:commentRangeEnd w:id="5"/>
      <w:r>
        <w:commentReference w:id="5"/>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Diego Siciliani" w:date="2026-10-22T00:15:41Z">
    <w:p>
      <w:r>
        <w:t>Diego Siciliani (VP Procurement Finance): Accepted 3.5% ($1.33M) unit-price discount in GP1 §3.1 conditioned on reducing GP1 §19 Liability Cap to 1.0x ($38M).</w:t>
      </w:r>
    </w:p>
  </w:comment>
  <w:comment w:id="2" w:author="Megan Bowen" w:date="2026-10-22T00:15:41Z">
    <w:p>
      <w:r>
        <w:t>Hold firm on 36-month warranty from aircraft delivery and unannounced FAA/Cymbal source inspections at any time per mandatory 14 CFR Part 21.140 / PC-700 airworthiness requirements (88% Held Firm precedent).</w:t>
      </w:r>
    </w:p>
  </w:comment>
  <w:comment w:id="3" w:author="Miriam Graham" w:date="2026-10-22T00:15:41Z">
    <w:p>
      <w:r>
        <w:t>Miriam Graham (VP Legal &amp; IP): CONFLICT WITH FINANCE — Legal Playbook strictly requires minimum 1.5x ($57M) Liability Cap and prohibits commercial cap-for-discount trade-offs in GP1 §3.1. Legal takes precedence.</w:t>
      </w:r>
    </w:p>
  </w:comment>
  <w:comment w:id="4" w:author="Pradeep Gupta" w:date="2026-10-22T00:15:41Z">
    <w:p>
      <w:r>
        <w:t>Harmonized with GP1 §3.1 ($45M Firm-Fixed-Price SOW): 50/50 shared tariff split above 5.0% statutory threshold, strictly capped at +2.0% ($900,000) of the FFP unit price (63% Tier-1 precedent match).</w:t>
      </w:r>
    </w:p>
  </w:comment>
  <w:comment w:id="5" w:author="Alex Wilber" w:date="2026-10-22T00:15:41Z">
    <w:p>
      <w:r>
        <w:t>Hold firm on mandatory 72-hour cyber incident reporting and 90-day raw forensic image preservation under DoD DFARS 252.204-7012 statutory flow-down (94% Held Firm precedent).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sCounter9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Cymbal Aerospace Counter-Proposal — BA-2026-TR-5510</dc:title>
  <dc:subject/>
  <dc:creator>Rahul Kasanagottu</dc:creator>
  <cp:keywords/>
  <dc:description>generated by python-docx</dc:description>
  <cp:lastModifiedBy/>
  <cp:revision>1</cp:revision>
  <dcterms:created xsi:type="dcterms:W3CDTF">2026-10-22T00:15:41Z</dcterms:created>
  <dcterms:modified xsi:type="dcterms:W3CDTF">2026-10-22T00:15:41Z</dcterms:modified>
  <cp:category/>
</cp:coreProperties>
</file>