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WORKING REVIEW CONTRACT (ACCEPTED CHANGES APPLIED)</w:t>
      </w:r>
    </w:p>
    <w:p>
      <w:r>
        <w:t>Deal ID: BA-2026-TR-5510 | Supplier: Vanguard Thrust Systems Corp. (Tier-1 Actuation &amp; Propulsion) | Program: 777X / 787 Thrust Reverser Actuators (TRA-500) | Value: $38,000,000.00 (Firm-Fixed-Price (FFP) — $45,000,000 Ceiling) | Status: CONFLICT_DETECTED | Generated UTC: 2026-10-22T00:15:42Z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BA-2026-TR-5510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Vanguard Thrust Systems Corp.</w:t>
            </w:r>
          </w:p>
        </w:tc>
      </w:tr>
      <w:tr>
        <w:tc>
          <w:tcPr>
            <w:tcW w:type="dxa" w:w="4320"/>
          </w:tcPr>
          <w:p>
            <w:r>
              <w:t>Supplier Tier</w:t>
            </w:r>
          </w:p>
        </w:tc>
        <w:tc>
          <w:tcPr>
            <w:tcW w:type="dxa" w:w="4320"/>
          </w:tcPr>
          <w:p>
            <w:r>
              <w:t>Tier-1 Actuation &amp; Propulsion</w:t>
            </w:r>
          </w:p>
        </w:tc>
      </w:tr>
      <w:tr>
        <w:tc>
          <w:tcPr>
            <w:tcW w:type="dxa" w:w="4320"/>
          </w:tcPr>
          <w:p>
            <w:r>
              <w:t>Aircraft Program</w:t>
            </w:r>
          </w:p>
        </w:tc>
        <w:tc>
          <w:tcPr>
            <w:tcW w:type="dxa" w:w="4320"/>
          </w:tcPr>
          <w:p>
            <w:r>
              <w:t>777X / 787 Thrust Reverser Actuators (TRA-500)</w:t>
            </w:r>
          </w:p>
        </w:tc>
      </w:tr>
      <w:tr>
        <w:tc>
          <w:tcPr>
            <w:tcW w:type="dxa" w:w="4320"/>
          </w:tcPr>
          <w:p>
            <w:r>
              <w:t>Contract Value (USD)</w:t>
            </w:r>
          </w:p>
        </w:tc>
        <w:tc>
          <w:tcPr>
            <w:tcW w:type="dxa" w:w="4320"/>
          </w:tcPr>
          <w:p>
            <w:r>
              <w:t>$38,000,000.00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CONFLICT_DETECTED</w:t>
            </w:r>
          </w:p>
        </w:tc>
      </w:tr>
      <w:tr>
        <w:tc>
          <w:tcPr>
            <w:tcW w:type="dxa" w:w="4320"/>
          </w:tcPr>
          <w:p>
            <w:r>
              <w:t>Clause Breakdown</w:t>
            </w:r>
          </w:p>
        </w:tc>
        <w:tc>
          <w:tcPr>
            <w:tcW w:type="dxa" w:w="4320"/>
          </w:tcPr>
          <w:p>
            <w:r>
              <w:t>12 Total | 7 Auto-Cleared | 5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2026-10-22T00:15:42Z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 [⏳ PENDING REVIEW]</w:t>
      </w:r>
    </w:p>
    <w:p>
      <w:commentRangeStart w:id="1"/>
      <w:del w:id="201" w:author="Diego Siciliani" w:date="2026-10-22T00:15:42Z">
        <w:r>
          <w:delText xml:space="preserve">3.1 Firm-Fixed-Price (FFP) Ceiling: Total Contract price for all Thrust Reverser Actuator (TRA-500) shipsets under Schedule A is thirty-eight million U.S. dollars ($38,000,000.00) Firm-Fixed-Price (FFP). No commercial unit-price adjustments or liability-linked discounts are permitted without joint written approval of Procurement and Corporate Legal.</w:delText>
        </w:r>
      </w:del>
      <w:ins w:id="202" w:author="Diego Siciliani" w:date="2026-10-22T00:15:42Z">
        <w:r>
          <w:t xml:space="preserve">3.1 Firm-Fixed-Price &amp; Commercial Cap Trade-Off Discount: Total Contract price under Schedule A reflects a 3.5% ($1,330,000.00) commercial unit-price discount (net $36,670,000.00 FFP), granted by Seller in consideration of Buyer's agreement in GP1 §19 to reduce Seller's General Liability Cap to 1.0x ($38,000,000.00) of Purchase Order value.</w:t>
        </w:r>
      </w:ins>
      <w:commentRangeEnd w:id="1"/>
      <w:r>
        <w:commentReference w:id="1"/>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2"/>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commentRangeEnd w:id="2"/>
      <w:r>
        <w:commentReference w:id="2"/>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3"/>
      <w:del w:id="203" w:author="Miriam Graham" w:date="2026-10-22T00:15:42Z">
        <w:r>
          <w:delText xml:space="preserve">19.1 Per the GP1 §3.1 Commercial Cap Trade-Off Discount (3.5% unit-price reduction approved by Finance), Seller's total aggregate liability for all claims under this Contract is capped at 1.0x ($38,000,000) of Purchase Order value.</w:delText>
        </w:r>
      </w:del>
      <w:ins w:id="204" w:author="Miriam Graham" w:date="2026-10-22T00:15:42Z">
        <w:r>
          <w:t xml:space="preserve">19.1 Seller's aggregate liability for general direct commercial damages arising out of or related to this Contract shall not exceed one hundred fifty percent (150% / 1.5x) of total Purchase Order value ($57,000,000), with a 2.5x ($95,000,000) Super-Cap and uncapped carveouts for IP indemnification (§24), flight-safety Airworthiness Directives, and DFARS cybersecurity obligations. No commercial unit-price discount under GP1 §3.1 shall reduce Seller's liability cap below 1.5x PO value.</w:t>
        </w:r>
      </w:ins>
      <w:commentRangeEnd w:id="3"/>
      <w:r>
        <w:commentReference w:id="3"/>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4"/>
      <w:r>
        <w:t xml:space="preserve">4.1 (a) Importer of Record &amp; Customs Clearance: Seller shall act as Importer of Record for all imported sub-tier components, raw aerospace titanium forgings, and radiation-hardened semiconductor wafers. (b) Tariff &amp; Duty Allocation: All unit prices in Statement of Work (SOW-AV-8921) Schedule A are DDP (Incoterms 2020) Cymbal Aerospace Everett/Renton facility. Any verified new Section 232/301 tariff increase exceeding 5.0% on raw titanium forgings or semiconductor wafers shall be shared 50/50 between Cymbal Aerospace and Seller, strictly capped at a maximum aggregate adjustment of 2.0% ($900,000) of the GP1 §3.1 Firm-Fixed-Price SOW unit price.</w:t>
      </w:r>
      <w:commentRangeEnd w:id="4"/>
      <w:r>
        <w:commentReference w:id="4"/>
      </w:r>
    </w:p>
    <w:p>
      <w:pPr>
        <w:pStyle w:val="Heading2"/>
      </w:pPr>
      <w:r>
        <w:t>SP5 §3.2 — Cybersecurity Incident Reporting (DFARS) [✓ ACCEPTED BY Alex Wilber]</w:t>
      </w:r>
    </w:p>
    <w:p>
      <w:commentRangeStart w:id="5"/>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commentRangeEnd w:id="5"/>
      <w:r>
        <w:commentReference w:id="5"/>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Diego Siciliani" w:date="2026-10-22T00:15:42Z">
    <w:p>
      <w:r>
        <w:t>Diego Siciliani (VP Procurement Finance): Accepted 3.5% ($1.33M) unit-price discount in GP1 §3.1 conditioned on reducing GP1 §19 Liability Cap to 1.0x ($38M).</w:t>
      </w:r>
    </w:p>
  </w:comment>
  <w:comment w:id="2" w:author="Megan Bowen" w:date="2026-10-22T00:15:42Z">
    <w:p>
      <w:r>
        <w:t>Hold firm on 36-month warranty from aircraft delivery and unannounced FAA/Cymbal source inspections at any time per mandatory 14 CFR Part 21.140 / PC-700 airworthiness requirements (88% Held Firm precedent).</w:t>
      </w:r>
    </w:p>
  </w:comment>
  <w:comment w:id="3" w:author="Miriam Graham" w:date="2026-10-22T00:15:42Z">
    <w:p>
      <w:r>
        <w:t>Miriam Graham (VP Legal &amp; IP): CONFLICT WITH FINANCE — Legal Playbook strictly requires minimum 1.5x ($57M) Liability Cap and prohibits commercial cap-for-discount trade-offs in GP1 §3.1. Legal takes precedence.</w:t>
      </w:r>
    </w:p>
  </w:comment>
  <w:comment w:id="4" w:author="Pradeep Gupta" w:date="2026-10-22T00:15:42Z">
    <w:p>
      <w:r>
        <w:t>Harmonized with GP1 §3.1 ($45M Firm-Fixed-Price SOW): 50/50 shared tariff split above 5.0% statutory threshold, strictly capped at +2.0% ($900,000) of the FFP unit price (63% Tier-1 precedent match).</w:t>
      </w:r>
    </w:p>
  </w:comment>
  <w:comment w:id="5" w:author="Alex Wilber" w:date="2026-10-22T00:15:42Z">
    <w:p>
      <w:r>
        <w:t>Hold firm on mandatory 72-hour cyber incident reporting and 90-day raw forensic image preservation under DoD DFARS 252.204-7012 statutory flow-down (94% Held Firm precedent).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Working Review Document — BA-2026-TR-5510</dc:title>
  <dc:subject/>
  <dc:creator>Rahul Kasanagottu</dc:creator>
  <cp:keywords/>
  <dc:description>generated by python-docx</dc:description>
  <cp:lastModifiedBy/>
  <cp:revision>1</cp:revision>
  <dcterms:created xsi:type="dcterms:W3CDTF">2026-10-22T00:15:42Z</dcterms:created>
  <dcterms:modified xsi:type="dcterms:W3CDTF">2026-10-22T00:15:42Z</dcterms:modified>
  <cp:category/>
</cp:coreProperties>
</file>