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APEX AEROSYSTEMS INC. — COMMERCIAL &amp; LEGAL REDLINE TRANSMITTAL MEMORANDUM</w:t>
      </w:r>
    </w:p>
    <w:tbl>
      <w:tblPr>
        <w:tblW w:type="auto" w:w="0"/>
        <w:tblLook w:firstColumn="1" w:firstRow="1" w:lastColumn="0" w:lastRow="0" w:noHBand="0" w:noVBand="1" w:val="04A0"/>
      </w:tblPr>
      <w:tblGrid>
        <w:gridCol w:w="4320"/>
        <w:gridCol w:w="4320"/>
      </w:tblGrid>
      <w:tr>
        <w:tc>
          <w:tcPr>
            <w:tcW w:type="dxa" w:w="4320"/>
          </w:tcPr>
          <w:p>
            <w:r>
              <w:t>TO:</w:t>
            </w:r>
          </w:p>
        </w:tc>
        <w:tc>
          <w:tcPr>
            <w:tcW w:type="dxa" w:w="4320"/>
          </w:tcPr>
          <w:p>
            <w:r>
              <w:t>Marcus Vance, VP Avionics Procurement — Cymbal Aerospace Corporation</w:t>
            </w:r>
          </w:p>
        </w:tc>
      </w:tr>
      <w:tr>
        <w:tc>
          <w:tcPr>
            <w:tcW w:type="dxa" w:w="4320"/>
          </w:tcPr>
          <w:p>
            <w:r>
              <w:t>FROM:</w:t>
            </w:r>
          </w:p>
        </w:tc>
        <w:tc>
          <w:tcPr>
            <w:tcW w:type="dxa" w:w="4320"/>
          </w:tcPr>
          <w:p>
            <w:r>
              <w:t>Victoria Sterling, J.D., SVP &amp; General Counsel — Apex AeroSystems Inc.</w:t>
            </w:r>
          </w:p>
        </w:tc>
      </w:tr>
      <w:tr>
        <w:tc>
          <w:tcPr>
            <w:tcW w:type="dxa" w:w="4320"/>
          </w:tcPr>
          <w:p>
            <w:r>
              <w:t>CC:</w:t>
            </w:r>
          </w:p>
        </w:tc>
        <w:tc>
          <w:tcPr>
            <w:tcW w:type="dxa" w:w="4320"/>
          </w:tcPr>
          <w:p>
            <w:r>
              <w:t>Apex AeroSystems Global Tax, Director of Cleanroom Operations, and Chief Information Security Officer</w:t>
            </w:r>
          </w:p>
        </w:tc>
      </w:tr>
      <w:tr>
        <w:tc>
          <w:tcPr>
            <w:tcW w:type="dxa" w:w="4320"/>
          </w:tcPr>
          <w:p>
            <w:r>
              <w:t>DATE:</w:t>
            </w:r>
          </w:p>
        </w:tc>
        <w:tc>
          <w:tcPr>
            <w:tcW w:type="dxa" w:w="4320"/>
          </w:tcPr>
          <w:p>
            <w:r>
              <w:t>October 15, 2026</w:t>
            </w:r>
          </w:p>
        </w:tc>
      </w:tr>
      <w:tr>
        <w:tc>
          <w:tcPr>
            <w:tcW w:type="dxa" w:w="4320"/>
          </w:tcPr>
          <w:p>
            <w:r>
              <w:t>SUBJECT:</w:t>
            </w:r>
          </w:p>
        </w:tc>
        <w:tc>
          <w:tcPr>
            <w:tcW w:type="dxa" w:w="4320"/>
          </w:tcPr>
          <w:p>
            <w:r>
              <w:t>Vendor Markup &amp; Commercial Exceptions — Deal BA-2026-AV-8921 (FCC-900 Flight Control Computers, $45,000,000)</w:t>
            </w:r>
          </w:p>
        </w:tc>
      </w:tr>
      <w:tr>
        <w:tc>
          <w:tcPr>
            <w:tcW w:type="dxa" w:w="4320"/>
          </w:tcPr>
          <w:p>
            <w:r>
              <w:t>ATTACHMENTS:</w:t>
            </w:r>
          </w:p>
        </w:tc>
        <w:tc>
          <w:tcPr>
            <w:tcW w:type="dxa" w:w="4320"/>
          </w:tcPr>
          <w:p>
            <w:r>
              <w:t>Vendor_Redlined_GP1.docx (with Native Word Track Changes &amp; Margin Comments)</w:t>
            </w:r>
          </w:p>
        </w:tc>
      </w:tr>
    </w:tbl>
    <w:p>
      <w:pPr>
        <w:pStyle w:val="Heading2"/>
      </w:pPr>
      <w:r>
        <w:t>1. EXECUTIVE SUMMARY OF APEX AEROSYSTEMS REVIEW</w:t>
      </w:r>
    </w:p>
    <w:p>
      <w:r>
        <w:t>Apex AeroSystems Inc. is pleased to submit our formal markup of Cymbal Aerospace Corporation's Master Avionics Production Subcontract (GP1 / SP3 / SP5) for Deal BA-2026-AV-8921 covering 300 shipsets of the CYM-FCC-900-A Triple-Redundant Flight Control Computer ($45,000,000.00 total program value). To expedite execution prior to the Q4 Long-Lead Titanium &amp; Wafer Material Release milestone, Apex AeroSystems has ACCEPTED EIGHT (8) OF THE TWELVE (12) PROFORMA CLAUSES VERBATIM WITHOUT MODIFICATION (GP1 §1.1, GP1 §3.1, GP1 §5.2, GP1 §7.1, GP1 §9.1, GP1 §15.1, GP1 §28.1, and SP3 §2.1).</w:t>
      </w:r>
    </w:p>
    <w:p>
      <w:r>
        <w:t>Our markup in `Vendor_Redlined_GP1.docx` is strictly limited to four (4) targeted commercial, tax, and operational adjustments required by our Board of Directors Risk Committee and Security Operations Center:</w:t>
      </w:r>
    </w:p>
    <w:p>
      <w:pPr>
        <w:pStyle w:val="Heading2"/>
      </w:pPr>
      <w:r>
        <w:t>2. SUMMARY OF FOUR (4) REQUESTED REDLINE DEVIATIONS</w:t>
      </w:r>
    </w:p>
    <w:p>
      <w:r>
        <w:t>Exception 1 — GP1 §12.2 (Warranty &amp; FAA Source Inspection): We have modified the hardware/firmware warranty from 36 months after aircraft delivery to our standard commercial avionics baseline of twelve (12) months from factory shipment. Additionally, because unannounced walk-in audits disrupt our Class-100 lithography and automated optical inspection shifts in Phoenix, we request thirty (30) days prior written notice for facility inspections.</w:t>
      </w:r>
    </w:p>
    <w:p>
      <w:r>
        <w:t>Exception 2 — GP1 §19 &amp; §24 (Limitation of Liability &amp; IP Indemnity): Uncapped direct, line-stoppage, and recall liability on a $45M contract exceeds our corporate insurance tower. We have proposed capping aggregate liability at one hundred percent (100%) of the total Purchase Order value ($45M) and carving out third-party IP infringement claims arising from the combination of our FCC-900 LRUs with any Cymbal Aerospace or third-party flight control bus.</w:t>
      </w:r>
    </w:p>
    <w:p>
      <w:r>
        <w:t>Exception 3 — SP3 §4.1 (Customs, Duties &amp; International Tariffs): Due to acute volatility in Section 232 tariffs on European aerospace-grade Ti-6Al-4V forgings and Section 301 tariffs on Taiwanese semiconductor wafers, Apex AeroSystems cannot absorb open-ended tariff spikes under DDP pricing. We have redlined SP3 §4.1 so that any new or increased Section 232/301 tariffs exceeding five percent (5%) are passed through 100% to Cymbal Aerospace.</w:t>
      </w:r>
    </w:p>
    <w:p>
      <w:r>
        <w:t>Exception 4 — SP5 §3.2 (Cybersecurity Incident Reporting — DFARS): While Apex AeroSystems maintains full NIST SP 800-171 Rev 2 controls, our Security Operations Center (SOC) requires ten (10) business days following confirmation of a material breach to complete root-cause forensic triage before issuing external notifications, rather than 72 hours from initial unverified alert discovery.</w:t>
      </w:r>
    </w:p>
    <w:p>
      <w:pPr>
        <w:pStyle w:val="Heading2"/>
      </w:pPr>
      <w:r>
        <w:t>3. REQUESTED NEXT STEPS</w:t>
      </w:r>
    </w:p>
    <w:p>
      <w:r>
        <w:t>We welcome a consolidated counter-proposal from Cymbal Aerospace's Procurement, Engineering/FAA, Corporate Legal, Global Tax, and Cyber Defense teams so we can finalize the Deviation Matrix and execute Deal BA-2026-AV-8921.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