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Zoho Books MCP: Data It Can Read</w:t>
      </w:r>
    </w:p>
    <w:p>
      <w:pPr>
        <w:spacing w:after="160"/>
      </w:pPr>
      <w:r>
        <w:rPr>
          <w:rFonts w:ascii="Calibri" w:cs="Calibri" w:eastAsia="Calibri" w:hAnsi="Calibri"/>
          <w:color w:val="595959"/>
          <w:sz w:val="22"/>
          <w:szCs w:val="22"/>
        </w:rPr>
        <w:t xml:space="preserve">3 October 2026</w:t>
      </w:r>
    </w:p>
    <w:p>
      <w:pPr>
        <w:spacing w:after="200"/>
      </w:pPr>
      <w:r>
        <w:rPr>
          <w:rFonts w:ascii="Calibri" w:cs="Calibri" w:eastAsia="Calibri" w:hAnsi="Calibri"/>
          <w:sz w:val="22"/>
          <w:szCs w:val="22"/>
        </w:rPr>
        <w:t xml:space="preserve">The connector reads 21 groups of Zoho Books data through 224 read-only functions, for any of the organizations the connected Zoho account can see, one per request. It is based on </w:t>
      </w:r>
      <w:hyperlink w:history="1" r:id="rIdfwibog6cyauxo7gvhqi9q">
        <w:r>
          <w:rPr>
            <w:rFonts w:ascii="Calibri" w:cs="Calibri" w:eastAsia="Calibri" w:hAnsi="Calibri"/>
            <w:color w:val="0563C1"/>
            <w:sz w:val="22"/>
            <w:szCs w:val="22"/>
            <w:u w:val="single"/>
          </w:rPr>
          <w:t xml:space="preserve">Zoho's Books API v3 documentation</w:t>
        </w:r>
      </w:hyperlink>
      <w:r>
        <w:rPr>
          <w:rFonts w:ascii="Calibri" w:cs="Calibri" w:eastAsia="Calibri" w:hAnsi="Calibri"/>
          <w:sz w:val="22"/>
          <w:szCs w:val="22"/>
        </w:rPr>
        <w:t xml:space="preserve">, plus Zoho's report endpoints, which were confirmed by testing.</w:t>
      </w:r>
    </w:p>
    <w:p>
      <w:pPr>
        <w:pStyle w:val="Heading2"/>
      </w:pPr>
      <w:r>
        <w:t xml:space="preserve">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rFonts w:ascii="Calibri" w:cs="Calibri" w:eastAsia="Calibri" w:hAnsi="Calibri"/>
                <w:b/>
                <w:bCs/>
                <w:sz w:val="22"/>
                <w:szCs w:val="22"/>
              </w:rPr>
              <w:t xml:space="preserve">Category</w:t>
            </w:r>
          </w:p>
        </w:tc>
        <w:tc>
          <w:tcPr>
            <w:tcW w:type="dxa" w:w="7026"/>
            <w:tcBorders>
              <w:top w:val="single" w:color="BFBFBF" w:sz="4"/>
              <w:left w:val="single" w:color="BFBFBF" w:sz="4"/>
              <w:bottom w:val="single" w:color="BFBFBF" w:sz="4"/>
              <w:right w:val="single" w:color="BFBFBF" w:sz="4"/>
            </w:tcBorders>
            <w:shd w:fill="E7EEF7" w:color="auto" w:val="clear"/>
            <w:tcMar>
              <w:top w:type="dxa" w:w="80"/>
              <w:left w:type="dxa" w:w="120"/>
              <w:bottom w:type="dxa" w:w="80"/>
              <w:right w:type="dxa" w:w="120"/>
            </w:tcMar>
          </w:tcPr>
          <w:p>
            <w:r>
              <w:rPr>
                <w:rFonts w:ascii="Calibri" w:cs="Calibri" w:eastAsia="Calibri" w:hAnsi="Calibri"/>
                <w:b/>
                <w:bCs/>
                <w:sz w:val="22"/>
                <w:szCs w:val="22"/>
              </w:rPr>
              <w:t xml:space="preserve">Data it can read</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2"/>
                <w:szCs w:val="22"/>
              </w:rPr>
              <w:t xml:space="preserve">Sales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Customers and vendors (contacts, contact persons, addresses, cards, statements, tax info)</w:t>
            </w:r>
          </w:p>
          <w:p>
            <w:pPr>
              <w:spacing w:after="40"/>
            </w:pPr>
            <w:r>
              <w:rPr>
                <w:rFonts w:ascii="Calibri" w:cs="Calibri" w:eastAsia="Calibri" w:hAnsi="Calibri"/>
                <w:sz w:val="22"/>
                <w:szCs w:val="22"/>
              </w:rPr>
              <w:t xml:space="preserve">Invoices, including recurring invoices, retainer invoices and debit notes</w:t>
            </w:r>
          </w:p>
          <w:p>
            <w:pPr>
              <w:spacing w:after="40"/>
            </w:pPr>
            <w:r>
              <w:rPr>
                <w:rFonts w:ascii="Calibri" w:cs="Calibri" w:eastAsia="Calibri" w:hAnsi="Calibri"/>
                <w:sz w:val="22"/>
                <w:szCs w:val="22"/>
              </w:rPr>
              <w:t xml:space="preserve">Estimates</w:t>
            </w:r>
          </w:p>
          <w:p>
            <w:pPr>
              <w:spacing w:after="40"/>
            </w:pPr>
            <w:r>
              <w:rPr>
                <w:rFonts w:ascii="Calibri" w:cs="Calibri" w:eastAsia="Calibri" w:hAnsi="Calibri"/>
                <w:sz w:val="22"/>
                <w:szCs w:val="22"/>
              </w:rPr>
              <w:t xml:space="preserve">Sales orders</w:t>
            </w:r>
          </w:p>
          <w:p>
            <w:pPr>
              <w:spacing w:after="40"/>
            </w:pPr>
            <w:r>
              <w:rPr>
                <w:rFonts w:ascii="Calibri" w:cs="Calibri" w:eastAsia="Calibri" w:hAnsi="Calibri"/>
                <w:sz w:val="22"/>
                <w:szCs w:val="22"/>
              </w:rPr>
              <w:t xml:space="preserve">Sales receipts</w:t>
            </w:r>
          </w:p>
          <w:p>
            <w:pPr>
              <w:spacing w:after="40"/>
            </w:pPr>
            <w:r>
              <w:rPr>
                <w:rFonts w:ascii="Calibri" w:cs="Calibri" w:eastAsia="Calibri" w:hAnsi="Calibri"/>
                <w:sz w:val="22"/>
                <w:szCs w:val="22"/>
              </w:rPr>
              <w:t xml:space="preserve">Delivery challans</w:t>
            </w:r>
          </w:p>
          <w:p>
            <w:pPr>
              <w:spacing w:after="40"/>
            </w:pPr>
            <w:r>
              <w:rPr>
                <w:rFonts w:ascii="Calibri" w:cs="Calibri" w:eastAsia="Calibri" w:hAnsi="Calibri"/>
                <w:sz w:val="22"/>
                <w:szCs w:val="22"/>
              </w:rPr>
              <w:t xml:space="preserve">Credit notes and their refunds</w:t>
            </w:r>
          </w:p>
          <w:p>
            <w:pPr>
              <w:spacing w:after="40"/>
            </w:pPr>
            <w:r>
              <w:rPr>
                <w:rFonts w:ascii="Calibri" w:cs="Calibri" w:eastAsia="Calibri" w:hAnsi="Calibri"/>
                <w:sz w:val="22"/>
                <w:szCs w:val="22"/>
              </w:rPr>
              <w:t xml:space="preserve">Customer payments and refunds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2"/>
                <w:szCs w:val="22"/>
              </w:rPr>
              <w:t xml:space="preserve">Purchases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Bills and recurring bills, with the payments applied to them</w:t>
            </w:r>
          </w:p>
          <w:p>
            <w:pPr>
              <w:spacing w:after="40"/>
            </w:pPr>
            <w:r>
              <w:rPr>
                <w:rFonts w:ascii="Calibri" w:cs="Calibri" w:eastAsia="Calibri" w:hAnsi="Calibri"/>
                <w:sz w:val="22"/>
                <w:szCs w:val="22"/>
              </w:rPr>
              <w:t xml:space="preserve">Purchase orders and purchase returns</w:t>
            </w:r>
          </w:p>
          <w:p>
            <w:pPr>
              <w:spacing w:after="40"/>
            </w:pPr>
            <w:r>
              <w:rPr>
                <w:rFonts w:ascii="Calibri" w:cs="Calibri" w:eastAsia="Calibri" w:hAnsi="Calibri"/>
                <w:sz w:val="22"/>
                <w:szCs w:val="22"/>
              </w:rPr>
              <w:t xml:space="preserve">Vendor credits and refunds</w:t>
            </w:r>
          </w:p>
          <w:p>
            <w:pPr>
              <w:spacing w:after="40"/>
            </w:pPr>
            <w:r>
              <w:rPr>
                <w:rFonts w:ascii="Calibri" w:cs="Calibri" w:eastAsia="Calibri" w:hAnsi="Calibri"/>
                <w:sz w:val="22"/>
                <w:szCs w:val="22"/>
              </w:rPr>
              <w:t xml:space="preserve">Vendor payments and refunds</w:t>
            </w:r>
          </w:p>
          <w:p>
            <w:pPr>
              <w:spacing w:after="40"/>
            </w:pPr>
            <w:r>
              <w:rPr>
                <w:rFonts w:ascii="Calibri" w:cs="Calibri" w:eastAsia="Calibri" w:hAnsi="Calibri"/>
                <w:sz w:val="22"/>
                <w:szCs w:val="22"/>
              </w:rPr>
              <w:t xml:space="preserve">Expenses, recurring expenses and employees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2"/>
                <w:szCs w:val="22"/>
              </w:rPr>
              <w:t xml:space="preserve">Accounting and banking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Bank and credit card accounts, balances, statements and reconciliations</w:t>
            </w:r>
          </w:p>
          <w:p>
            <w:pPr>
              <w:spacing w:after="40"/>
            </w:pPr>
            <w:r>
              <w:rPr>
                <w:rFonts w:ascii="Calibri" w:cs="Calibri" w:eastAsia="Calibri" w:hAnsi="Calibri"/>
                <w:sz w:val="22"/>
                <w:szCs w:val="22"/>
              </w:rPr>
              <w:t xml:space="preserve">Bank transactions and bank rules</w:t>
            </w:r>
          </w:p>
          <w:p>
            <w:pPr>
              <w:spacing w:after="40"/>
            </w:pPr>
            <w:r>
              <w:rPr>
                <w:rFonts w:ascii="Calibri" w:cs="Calibri" w:eastAsia="Calibri" w:hAnsi="Calibri"/>
                <w:sz w:val="22"/>
                <w:szCs w:val="22"/>
              </w:rPr>
              <w:t xml:space="preserve">Chart of accounts and the transactions posted to each account</w:t>
            </w:r>
          </w:p>
          <w:p>
            <w:pPr>
              <w:spacing w:after="40"/>
            </w:pPr>
            <w:r>
              <w:rPr>
                <w:rFonts w:ascii="Calibri" w:cs="Calibri" w:eastAsia="Calibri" w:hAnsi="Calibri"/>
                <w:sz w:val="22"/>
                <w:szCs w:val="22"/>
              </w:rPr>
              <w:t xml:space="preserve">Account registers and budget vs. actuals</w:t>
            </w:r>
          </w:p>
          <w:p>
            <w:pPr>
              <w:spacing w:after="40"/>
            </w:pPr>
            <w:r>
              <w:rPr>
                <w:rFonts w:ascii="Calibri" w:cs="Calibri" w:eastAsia="Calibri" w:hAnsi="Calibri"/>
                <w:sz w:val="22"/>
                <w:szCs w:val="22"/>
              </w:rPr>
              <w:t xml:space="preserve">Manual and recurring journals</w:t>
            </w:r>
          </w:p>
          <w:p>
            <w:pPr>
              <w:spacing w:after="40"/>
            </w:pPr>
            <w:r>
              <w:rPr>
                <w:rFonts w:ascii="Calibri" w:cs="Calibri" w:eastAsia="Calibri" w:hAnsi="Calibri"/>
                <w:sz w:val="22"/>
                <w:szCs w:val="22"/>
              </w:rPr>
              <w:t xml:space="preserve">Fixed assets with history and forecast depreciation</w:t>
            </w:r>
          </w:p>
          <w:p>
            <w:pPr>
              <w:spacing w:after="40"/>
            </w:pPr>
            <w:r>
              <w:rPr>
                <w:rFonts w:ascii="Calibri" w:cs="Calibri" w:eastAsia="Calibri" w:hAnsi="Calibri"/>
                <w:sz w:val="22"/>
                <w:szCs w:val="22"/>
              </w:rPr>
              <w:t xml:space="preserve">Currency adjustments, opening balances and transaction locks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2"/>
                <w:szCs w:val="22"/>
              </w:rPr>
              <w:t xml:space="preserve">Reports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Profit and Loss</w:t>
            </w:r>
          </w:p>
          <w:p>
            <w:pPr>
              <w:spacing w:after="40"/>
            </w:pPr>
            <w:r>
              <w:rPr>
                <w:rFonts w:ascii="Calibri" w:cs="Calibri" w:eastAsia="Calibri" w:hAnsi="Calibri"/>
                <w:sz w:val="22"/>
                <w:szCs w:val="22"/>
              </w:rPr>
              <w:t xml:space="preserve">Balance Sheet</w:t>
            </w:r>
          </w:p>
          <w:p>
            <w:pPr>
              <w:spacing w:after="40"/>
            </w:pPr>
            <w:r>
              <w:rPr>
                <w:rFonts w:ascii="Calibri" w:cs="Calibri" w:eastAsia="Calibri" w:hAnsi="Calibri"/>
                <w:sz w:val="22"/>
                <w:szCs w:val="22"/>
              </w:rPr>
              <w:t xml:space="preserve">Cash Flow Statement</w:t>
            </w:r>
          </w:p>
          <w:p>
            <w:pPr>
              <w:spacing w:after="40"/>
            </w:pPr>
            <w:r>
              <w:rPr>
                <w:rFonts w:ascii="Calibri" w:cs="Calibri" w:eastAsia="Calibri" w:hAnsi="Calibri"/>
                <w:sz w:val="22"/>
                <w:szCs w:val="22"/>
              </w:rPr>
              <w:t xml:space="preserve">General Ledger</w:t>
            </w:r>
          </w:p>
          <w:p>
            <w:pPr>
              <w:spacing w:after="40"/>
            </w:pPr>
            <w:r>
              <w:rPr>
                <w:rFonts w:ascii="Calibri" w:cs="Calibri" w:eastAsia="Calibri" w:hAnsi="Calibri"/>
                <w:sz w:val="22"/>
                <w:szCs w:val="22"/>
              </w:rPr>
              <w:t xml:space="preserve">Trial Balance</w:t>
            </w:r>
          </w:p>
          <w:p>
            <w:pPr>
              <w:spacing w:after="40"/>
            </w:pPr>
            <w:r>
              <w:rPr>
                <w:rFonts w:ascii="Calibri" w:cs="Calibri" w:eastAsia="Calibri" w:hAnsi="Calibri"/>
                <w:sz w:val="22"/>
                <w:szCs w:val="22"/>
              </w:rPr>
              <w:t xml:space="preserve">Journal Report</w:t>
            </w:r>
          </w:p>
          <w:p>
            <w:pPr>
              <w:spacing w:after="40"/>
            </w:pPr>
            <w:r>
              <w:rPr>
                <w:rFonts w:ascii="Calibri" w:cs="Calibri" w:eastAsia="Calibri" w:hAnsi="Calibri"/>
                <w:sz w:val="22"/>
                <w:szCs w:val="22"/>
              </w:rPr>
              <w:t xml:space="preserve">Account Transactions</w:t>
            </w:r>
          </w:p>
          <w:p>
            <w:pPr>
              <w:spacing w:after="40"/>
            </w:pPr>
            <w:r>
              <w:rPr>
                <w:rFonts w:ascii="Calibri" w:cs="Calibri" w:eastAsia="Calibri" w:hAnsi="Calibri"/>
                <w:sz w:val="22"/>
                <w:szCs w:val="22"/>
              </w:rPr>
              <w:t xml:space="preserve">Each on an accrual or cash basis and for any date range</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2"/>
                <w:szCs w:val="22"/>
              </w:rPr>
              <w:t xml:space="preserve">Setup and reference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Organization details</w:t>
            </w:r>
          </w:p>
          <w:p>
            <w:pPr>
              <w:spacing w:after="40"/>
            </w:pPr>
            <w:r>
              <w:rPr>
                <w:rFonts w:ascii="Calibri" w:cs="Calibri" w:eastAsia="Calibri" w:hAnsi="Calibri"/>
                <w:sz w:val="22"/>
                <w:szCs w:val="22"/>
              </w:rPr>
              <w:t xml:space="preserve">Users</w:t>
            </w:r>
          </w:p>
          <w:p>
            <w:pPr>
              <w:spacing w:after="40"/>
            </w:pPr>
            <w:r>
              <w:rPr>
                <w:rFonts w:ascii="Calibri" w:cs="Calibri" w:eastAsia="Calibri" w:hAnsi="Calibri"/>
                <w:sz w:val="22"/>
                <w:szCs w:val="22"/>
              </w:rPr>
              <w:t xml:space="preserve">Taxes and tax groups</w:t>
            </w:r>
          </w:p>
          <w:p>
            <w:pPr>
              <w:spacing w:after="40"/>
            </w:pPr>
            <w:r>
              <w:rPr>
                <w:rFonts w:ascii="Calibri" w:cs="Calibri" w:eastAsia="Calibri" w:hAnsi="Calibri"/>
                <w:sz w:val="22"/>
                <w:szCs w:val="22"/>
              </w:rPr>
              <w:t xml:space="preserve">Currencies and exchange rates</w:t>
            </w:r>
          </w:p>
          <w:p>
            <w:pPr>
              <w:spacing w:after="40"/>
            </w:pPr>
            <w:r>
              <w:rPr>
                <w:rFonts w:ascii="Calibri" w:cs="Calibri" w:eastAsia="Calibri" w:hAnsi="Calibri"/>
                <w:sz w:val="22"/>
                <w:szCs w:val="22"/>
              </w:rPr>
              <w:t xml:space="preserve">Items, item variants, categories and price lists</w:t>
            </w:r>
          </w:p>
          <w:p>
            <w:pPr>
              <w:spacing w:after="40"/>
            </w:pPr>
            <w:r>
              <w:rPr>
                <w:rFonts w:ascii="Calibri" w:cs="Calibri" w:eastAsia="Calibri" w:hAnsi="Calibri"/>
                <w:sz w:val="22"/>
                <w:szCs w:val="22"/>
              </w:rPr>
              <w:t xml:space="preserve">Locations</w:t>
            </w:r>
          </w:p>
          <w:p>
            <w:pPr>
              <w:spacing w:after="40"/>
            </w:pPr>
            <w:r>
              <w:rPr>
                <w:rFonts w:ascii="Calibri" w:cs="Calibri" w:eastAsia="Calibri" w:hAnsi="Calibri"/>
                <w:sz w:val="22"/>
                <w:szCs w:val="22"/>
              </w:rPr>
              <w:t xml:space="preserve">Reporting tags</w:t>
            </w:r>
          </w:p>
          <w:p>
            <w:pPr>
              <w:spacing w:after="40"/>
            </w:pPr>
            <w:r>
              <w:rPr>
                <w:rFonts w:ascii="Calibri" w:cs="Calibri" w:eastAsia="Calibri" w:hAnsi="Calibri"/>
                <w:sz w:val="22"/>
                <w:szCs w:val="22"/>
              </w:rPr>
              <w:t xml:space="preserve">Projects, tasks, time entries and running timers</w:t>
            </w:r>
          </w:p>
        </w:tc>
      </w:tr>
    </w:tbl>
    <w:p>
      <w:pPr>
        <w:pStyle w:val="Heading2"/>
      </w:pPr>
      <w:r>
        <w:t xml:space="preserve">Limits</w:t>
      </w:r>
    </w:p>
    <w:p>
      <w:pPr>
        <w:pStyle w:val="ListParagraph"/>
        <w:numPr>
          <w:ilvl w:val="0"/>
          <w:numId w:val="2"/>
        </w:numPr>
        <w:spacing w:after="80"/>
      </w:pPr>
      <w:r>
        <w:rPr>
          <w:rFonts w:ascii="Calibri" w:cs="Calibri" w:eastAsia="Calibri" w:hAnsi="Calibri"/>
          <w:sz w:val="22"/>
          <w:szCs w:val="22"/>
        </w:rPr>
        <w:t xml:space="preserve">Read-only: it cannot create, edit, update or delete anything in Books.</w:t>
      </w:r>
    </w:p>
    <w:p>
      <w:pPr>
        <w:pStyle w:val="ListParagraph"/>
        <w:numPr>
          <w:ilvl w:val="0"/>
          <w:numId w:val="2"/>
        </w:numPr>
        <w:spacing w:after="80"/>
      </w:pPr>
      <w:r>
        <w:rPr>
          <w:rFonts w:ascii="Calibri" w:cs="Calibri" w:eastAsia="Calibri" w:hAnsi="Calibri"/>
          <w:sz w:val="22"/>
          <w:szCs w:val="22"/>
        </w:rPr>
        <w:t xml:space="preserve">Only seven of the roughly 56 dashboard reports are available as functions so far. Any other report would have to be rebuilt from the records above, and the figures may differ from Zoho's own.</w:t>
      </w:r>
    </w:p>
    <w:p>
      <w:pPr>
        <w:pStyle w:val="ListParagraph"/>
        <w:numPr>
          <w:ilvl w:val="0"/>
          <w:numId w:val="2"/>
        </w:numPr>
        <w:spacing w:after="80"/>
      </w:pPr>
      <w:r>
        <w:rPr>
          <w:rFonts w:ascii="Calibri" w:cs="Calibri" w:eastAsia="Calibri" w:hAnsi="Calibri"/>
          <w:sz w:val="22"/>
          <w:szCs w:val="22"/>
        </w:rPr>
        <w:t xml:space="preserve">Custom module records are not included, because their only Zoho scope allows writing.</w:t>
      </w:r>
    </w:p>
    <w:p>
      <w:pPr>
        <w:pStyle w:val="ListParagraph"/>
        <w:numPr>
          <w:ilvl w:val="0"/>
          <w:numId w:val="2"/>
        </w:numPr>
        <w:spacing w:after="80"/>
      </w:pPr>
      <w:r>
        <w:rPr>
          <w:rFonts w:ascii="Calibri" w:cs="Calibri" w:eastAsia="Calibri" w:hAnsi="Calibri"/>
          <w:sz w:val="22"/>
          <w:szCs w:val="22"/>
        </w:rPr>
        <w:t xml:space="preserve">It returns only what the connected Zoho account may see, and only for the organization named in each request.</w:t>
      </w:r>
    </w:p>
    <w:p>
      <w:pPr>
        <w:pStyle w:val="ListParagraph"/>
        <w:numPr>
          <w:ilvl w:val="0"/>
          <w:numId w:val="2"/>
        </w:numPr>
        <w:spacing w:after="80"/>
      </w:pPr>
      <w:r>
        <w:rPr>
          <w:rFonts w:ascii="Calibri" w:cs="Calibri" w:eastAsia="Calibri" w:hAnsi="Calibri"/>
          <w:sz w:val="22"/>
          <w:szCs w:val="22"/>
        </w:rPr>
        <w:t xml:space="preserve">Every function was tried once on a test organization. What came back there depended on that account's permissions and data, so real client data is still to be checked.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wibog6cyauxo7gvhqi9q" Type="http://schemas.openxmlformats.org/officeDocument/2006/relationships/hyperlink" Target="https://www.zoho.com/books/api/v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Zoho Books MCP: Data It Can Read</dc:title>
  <dc:creator>Zoho Books MCP</dc:creator>
  <cp:lastModifiedBy>Un-named</cp:lastModifiedBy>
  <cp:revision>1</cp:revision>
  <dcterms:created xsi:type="dcterms:W3CDTF">2026-10-03T06:53:18.447Z</dcterms:created>
  <dcterms:modified xsi:type="dcterms:W3CDTF">2026-10-03T06:53:18.448Z</dcterms:modified>
</cp:coreProperties>
</file>

<file path=docProps/custom.xml><?xml version="1.0" encoding="utf-8"?>
<Properties xmlns="http://schemas.openxmlformats.org/officeDocument/2006/custom-properties" xmlns:vt="http://schemas.openxmlformats.org/officeDocument/2006/docPropsVTypes"/>
</file>