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spacing w:before="240" w:after="60"/>
        <w:jc w:val="center"/>
      </w:pPr>
      <w:r>
        <w:rPr>
          <w:rFonts w:ascii="Arial" w:hAnsi="Arial" w:cs="Arial"/>
          <w:b/>
          <w:color w:val="122F5C"/>
          <w:spacing w:val="90"/>
          <w:sz w:val="40"/>
          <w:szCs w:val="40"/>
        </w:rPr>
        <w:t xml:space="preserve">INFINITY INTERNS</w:t>
      </w:r>
    </w:p>
    <w:p>
      <w:pPr>
        <w:spacing w:before="0" w:after="200"/>
        <w:jc w:val="center"/>
      </w:pPr>
      <w:r>
        <w:rPr>
          <w:rFonts w:ascii="Arial" w:hAnsi="Arial" w:cs="Arial"/>
          <w:color w:val="444A55"/>
          <w:sz w:val="17"/>
          <w:szCs w:val="17"/>
        </w:rPr>
        <w:t xml:space="preserve">A unit of Infinitya1 Career Counselling Private Limited</w:t>
      </w:r>
    </w:p>
    <w:p>
      <w:pPr>
        <w:spacing w:before="80" w:after="80"/>
        <w:jc w:val="center"/>
      </w:pPr>
      <w:r>
        <w:drawing>
          <wp:inline distT="0" distB="0" distL="0" distR="0">
            <wp:extent cx="2413000" cy="1012825"/>
            <wp:docPr id="1" name="Picture 1"/>
            <a:graphic>
              <a:graphicData uri="http://schemas.openxmlformats.org/drawingml/2006/picture">
                <pic:pic>
                  <pic:nvPicPr>
                    <pic:cNvPr id="1" name="logo_mark.png"/>
                    <pic:cNvPicPr/>
                  </pic:nvPicPr>
                  <pic:blipFill>
                    <a:blip r:embed="rId100"/>
                    <a:stretch>
                      <a:fillRect/>
                    </a:stretch>
                  </pic:blipFill>
                  <pic:spPr>
                    <a:xfrm>
                      <a:off x="0" y="0"/>
                      <a:ext cx="2413000" cy="1012825"/>
                    </a:xfrm>
                    <a:prstGeom prst="rect">
                      <a:avLst/>
                    </a:prstGeom>
                  </pic:spPr>
                </pic:pic>
              </a:graphicData>
            </a:graphic>
          </wp:inline>
        </w:drawing>
      </w:r>
    </w:p>
    <w:p>
      <w:pPr>
        <w:pBdr>
          <w:bottom w:val="single" w:sz="12" w:space="2" w:color="E87A1E"/>
        </w:pBdr>
        <w:spacing w:before="160" w:after="60"/>
        <w:jc w:val="center"/>
      </w:pPr>
      <w:r>
        <w:rPr>
          <w:rFonts w:ascii="Arial" w:hAnsi="Arial" w:cs="Arial"/>
          <w:b/>
          <w:color w:val="122F5C"/>
          <w:spacing w:val="60"/>
          <w:sz w:val="30"/>
          <w:szCs w:val="30"/>
        </w:rPr>
        <w:t xml:space="preserve">SUMMER INTERNSHIP PROJECT REPORT</w:t>
      </w:r>
    </w:p>
    <w:p>
      <w:pPr>
        <w:spacing w:before="160" w:after="80"/>
        <w:jc w:val="center"/>
      </w:pPr>
      <w:r>
        <w:rPr>
          <w:rFonts w:ascii="Arial" w:hAnsi="Arial" w:cs="Arial"/>
          <w:color w:val="8A919C"/>
          <w:spacing w:val="60"/>
          <w:sz w:val="17"/>
          <w:szCs w:val="17"/>
        </w:rPr>
        <w:t xml:space="preserve">A STUDY ON</w:t>
      </w:r>
    </w:p>
    <w:p>
      <w:pPr>
        <w:spacing w:before="0" w:after="40"/>
        <w:jc w:val="center"/>
      </w:pPr>
      <w:r>
        <w:rPr>
          <w:rFonts w:ascii="Times New Roman" w:hAnsi="Times New Roman" w:cs="Times New Roman"/>
          <w:b/>
          <w:color w:val="1B4B8A"/>
          <w:sz w:val="33"/>
          <w:szCs w:val="33"/>
        </w:rPr>
        <w:t xml:space="preserve">FINANCIAL MANAGEMENT PRACTICES, BUDGETARY CONTROL</w:t>
      </w:r>
    </w:p>
    <w:p>
      <w:pPr>
        <w:spacing w:before="0" w:after="40"/>
        <w:jc w:val="center"/>
      </w:pPr>
      <w:r>
        <w:rPr>
          <w:rFonts w:ascii="Times New Roman" w:hAnsi="Times New Roman" w:cs="Times New Roman"/>
          <w:b/>
          <w:color w:val="1B4B8A"/>
          <w:sz w:val="33"/>
          <w:szCs w:val="33"/>
        </w:rPr>
        <w:t xml:space="preserve">AND FINANCIAL PERFORMANCE ANALYSIS</w:t>
      </w:r>
    </w:p>
    <w:p>
      <w:pPr>
        <w:spacing w:before="120" w:after="60"/>
        <w:jc w:val="center"/>
      </w:pPr>
      <w:r>
        <w:rPr>
          <w:rFonts w:ascii="Times New Roman" w:hAnsi="Times New Roman" w:cs="Times New Roman"/>
          <w:i/>
          <w:color w:val="8A919C"/>
          <w:sz w:val="21"/>
          <w:szCs w:val="21"/>
        </w:rPr>
        <w:t xml:space="preserve">at</w:t>
      </w:r>
    </w:p>
    <w:p>
      <w:pPr>
        <w:spacing w:before="0" w:after="40"/>
        <w:jc w:val="center"/>
      </w:pPr>
      <w:r>
        <w:rPr>
          <w:rFonts w:ascii="Times New Roman" w:hAnsi="Times New Roman" w:cs="Times New Roman"/>
          <w:b/>
          <w:color w:val="122F5C"/>
          <w:sz w:val="25"/>
          <w:szCs w:val="25"/>
        </w:rPr>
        <w:t xml:space="preserve">Infinitya1 Career Counselling Private Limited</w:t>
      </w:r>
    </w:p>
    <w:p>
      <w:pPr>
        <w:spacing w:before="0" w:after="200"/>
        <w:jc w:val="center"/>
      </w:pPr>
      <w:r>
        <w:rPr>
          <w:rFonts w:ascii="Times New Roman" w:hAnsi="Times New Roman" w:cs="Times New Roman"/>
          <w:color w:val="444A55"/>
          <w:sz w:val="19"/>
          <w:szCs w:val="19"/>
        </w:rPr>
        <w:t xml:space="preserve">B-Hub, Maurya Lok Complex, Dak Bungalow Road, Patna, Bihar 800001</w:t>
      </w:r>
    </w:p>
    <w:p>
      <w:pPr>
        <w:spacing w:before="0" w:after="60"/>
        <w:jc w:val="center"/>
      </w:pPr>
      <w:r>
        <w:rPr>
          <w:rFonts w:ascii="Times New Roman" w:hAnsi="Times New Roman" w:cs="Times New Roman"/>
          <w:i/>
          <w:color w:val="444A55"/>
          <w:sz w:val="18"/>
          <w:szCs w:val="18"/>
        </w:rPr>
        <w:t xml:space="preserve">Submitted in partial fulfilment of the requirements for the award of the degree of</w:t>
      </w:r>
    </w:p>
    <w:p>
      <w:pPr>
        <w:spacing w:before="0" w:after="40"/>
        <w:jc w:val="center"/>
      </w:pPr>
      <w:r>
        <w:rPr>
          <w:rFonts w:ascii="Arial" w:hAnsi="Arial" w:cs="Arial"/>
          <w:b/>
          <w:color w:val="122F5C"/>
          <w:spacing w:val="30"/>
          <w:sz w:val="24"/>
          <w:szCs w:val="24"/>
        </w:rPr>
        <w:t xml:space="preserve">MASTER OF BUSINESS ADMINISTRATION (M.B.A.)</w:t>
      </w:r>
    </w:p>
    <w:p>
      <w:pPr>
        <w:spacing w:before="0" w:after="200"/>
        <w:jc w:val="center"/>
      </w:pPr>
      <w:r>
        <w:rPr>
          <w:rFonts w:ascii="Times New Roman" w:hAnsi="Times New Roman" w:cs="Times New Roman"/>
          <w:color w:val="444A55"/>
          <w:sz w:val="20"/>
          <w:szCs w:val="20"/>
        </w:rPr>
        <w:t xml:space="preserve">Specialisation:  Financial Management (FM)</w:t>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00" w:type="dxa"/>
          <w:right w:w="160" w:type="dxa"/>
        </w:tblCellMar>
      </w:tblPr>
      <w:tblGrid>
        <w:gridCol w:w="3270"/>
        <w:gridCol w:w="6348"/>
      </w:tblGrid>
      <w:tr>
        <w:tc>
          <w:tcPr>
            <w:tcW w:w="3270" w:type="dxa"/>
            <w:tcBorders>
              <w:left w:val="single" w:sz="24" w:space="0" w:color="E87A1E"/>
            </w:tcBorders>
            <w:shd w:val="clear" w:color="auto" w:fill="EEF4FB"/>
          </w:tcPr>
          <w:p>
            <w:pPr>
              <w:spacing w:before="30" w:after="30"/>
              <w:jc w:val="left"/>
            </w:pPr>
            <w:r>
              <w:rPr>
                <w:rFonts w:ascii="Arial" w:hAnsi="Arial" w:cs="Arial"/>
                <w:b/>
                <w:color w:val="1B4B8A"/>
                <w:sz w:val="16"/>
                <w:szCs w:val="16"/>
              </w:rPr>
              <w:t xml:space="preserve">Submitted by</w:t>
            </w:r>
          </w:p>
        </w:tc>
        <w:tc>
          <w:tcPr>
            <w:tcW w:w="6348" w:type="dxa"/>
            <w:shd w:val="clear" w:color="auto" w:fill="EEF4FB"/>
          </w:tcPr>
          <w:p>
            <w:pPr>
              <w:spacing w:before="30" w:after="30"/>
              <w:jc w:val="left"/>
            </w:pPr>
            <w:r>
              <w:rPr>
                <w:rFonts w:ascii="Times New Roman" w:hAnsi="Times New Roman" w:cs="Times New Roman"/>
                <w:b/>
                <w:color w:val="1A1A1A"/>
                <w:sz w:val="20"/>
                <w:szCs w:val="20"/>
              </w:rPr>
              <w:t xml:space="preserve">Ganga Kumari Singh</w:t>
            </w:r>
          </w:p>
        </w:tc>
      </w:tr>
      <w:tr>
        <w:tc>
          <w:tcPr>
            <w:tcW w:w="3270" w:type="dxa"/>
            <w:tcBorders>
              <w:left w:val="single" w:sz="24" w:space="0" w:color="E87A1E"/>
            </w:tcBorders>
            <w:shd w:val="clear" w:color="auto" w:fill="EEF4FB"/>
          </w:tcPr>
          <w:p>
            <w:pPr>
              <w:spacing w:before="30" w:after="30"/>
              <w:jc w:val="left"/>
            </w:pPr>
            <w:r>
              <w:rPr>
                <w:rFonts w:ascii="Arial" w:hAnsi="Arial" w:cs="Arial"/>
                <w:b/>
                <w:color w:val="1B4B8A"/>
                <w:sz w:val="16"/>
                <w:szCs w:val="16"/>
              </w:rPr>
              <w:t xml:space="preserve">Father's Name</w:t>
            </w:r>
          </w:p>
        </w:tc>
        <w:tc>
          <w:tcPr>
            <w:tcW w:w="6348" w:type="dxa"/>
            <w:shd w:val="clear" w:color="auto" w:fill="EEF4FB"/>
          </w:tcPr>
          <w:p>
            <w:pPr>
              <w:spacing w:before="30" w:after="30"/>
              <w:jc w:val="left"/>
            </w:pPr>
            <w:r>
              <w:rPr>
                <w:rFonts w:ascii="Times New Roman" w:hAnsi="Times New Roman" w:cs="Times New Roman"/>
                <w:b/>
                <w:color w:val="1A1A1A"/>
                <w:sz w:val="20"/>
                <w:szCs w:val="20"/>
              </w:rPr>
              <w:t xml:space="preserve">Shri Krishna Prasad Singh</w:t>
            </w:r>
          </w:p>
        </w:tc>
      </w:tr>
      <w:tr>
        <w:tc>
          <w:tcPr>
            <w:tcW w:w="3270" w:type="dxa"/>
            <w:tcBorders>
              <w:left w:val="single" w:sz="24" w:space="0" w:color="E87A1E"/>
            </w:tcBorders>
            <w:shd w:val="clear" w:color="auto" w:fill="EEF4FB"/>
          </w:tcPr>
          <w:p>
            <w:pPr>
              <w:spacing w:before="30" w:after="30"/>
              <w:jc w:val="left"/>
            </w:pPr>
            <w:r>
              <w:rPr>
                <w:rFonts w:ascii="Arial" w:hAnsi="Arial" w:cs="Arial"/>
                <w:b/>
                <w:color w:val="1B4B8A"/>
                <w:sz w:val="16"/>
                <w:szCs w:val="16"/>
              </w:rPr>
              <w:t xml:space="preserve">Roll Number</w:t>
            </w:r>
          </w:p>
        </w:tc>
        <w:tc>
          <w:tcPr>
            <w:tcW w:w="6348" w:type="dxa"/>
            <w:shd w:val="clear" w:color="auto" w:fill="EEF4FB"/>
          </w:tcPr>
          <w:p>
            <w:pPr>
              <w:spacing w:before="30" w:after="30"/>
              <w:jc w:val="left"/>
            </w:pPr>
            <w:r>
              <w:rPr>
                <w:rFonts w:ascii="Times New Roman" w:hAnsi="Times New Roman" w:cs="Times New Roman"/>
                <w:b/>
                <w:color w:val="1A1A1A"/>
                <w:sz w:val="20"/>
                <w:szCs w:val="20"/>
              </w:rPr>
              <w:t xml:space="preserve">24269010026</w:t>
            </w:r>
          </w:p>
        </w:tc>
      </w:tr>
      <w:tr>
        <w:tc>
          <w:tcPr>
            <w:tcW w:w="3270" w:type="dxa"/>
            <w:tcBorders>
              <w:left w:val="single" w:sz="24" w:space="0" w:color="E87A1E"/>
            </w:tcBorders>
            <w:shd w:val="clear" w:color="auto" w:fill="EEF4FB"/>
          </w:tcPr>
          <w:p>
            <w:pPr>
              <w:spacing w:before="30" w:after="30"/>
              <w:jc w:val="left"/>
            </w:pPr>
            <w:r>
              <w:rPr>
                <w:rFonts w:ascii="Arial" w:hAnsi="Arial" w:cs="Arial"/>
                <w:b/>
                <w:color w:val="1B4B8A"/>
                <w:sz w:val="16"/>
                <w:szCs w:val="16"/>
              </w:rPr>
              <w:t xml:space="preserve">Registration Number</w:t>
            </w:r>
          </w:p>
        </w:tc>
        <w:tc>
          <w:tcPr>
            <w:tcW w:w="6348" w:type="dxa"/>
            <w:shd w:val="clear" w:color="auto" w:fill="EEF4FB"/>
          </w:tcPr>
          <w:p>
            <w:pPr>
              <w:spacing w:before="30" w:after="30"/>
              <w:jc w:val="left"/>
            </w:pPr>
            <w:r>
              <w:rPr>
                <w:rFonts w:ascii="Times New Roman" w:hAnsi="Times New Roman" w:cs="Times New Roman"/>
                <w:b/>
                <w:color w:val="1A1A1A"/>
                <w:sz w:val="20"/>
                <w:szCs w:val="20"/>
              </w:rPr>
              <w:t xml:space="preserve">1053595/20</w:t>
            </w:r>
          </w:p>
        </w:tc>
      </w:tr>
      <w:tr>
        <w:tc>
          <w:tcPr>
            <w:tcW w:w="3270" w:type="dxa"/>
            <w:tcBorders>
              <w:left w:val="single" w:sz="24" w:space="0" w:color="E87A1E"/>
            </w:tcBorders>
            <w:shd w:val="clear" w:color="auto" w:fill="EEF4FB"/>
          </w:tcPr>
          <w:p>
            <w:pPr>
              <w:spacing w:before="30" w:after="30"/>
              <w:jc w:val="left"/>
            </w:pPr>
            <w:r>
              <w:rPr>
                <w:rFonts w:ascii="Arial" w:hAnsi="Arial" w:cs="Arial"/>
                <w:b/>
                <w:color w:val="1B4B8A"/>
                <w:sz w:val="16"/>
                <w:szCs w:val="16"/>
              </w:rPr>
              <w:t xml:space="preserve">Programme</w:t>
            </w:r>
          </w:p>
        </w:tc>
        <w:tc>
          <w:tcPr>
            <w:tcW w:w="6348" w:type="dxa"/>
            <w:shd w:val="clear" w:color="auto" w:fill="EEF4FB"/>
          </w:tcPr>
          <w:p>
            <w:pPr>
              <w:spacing w:before="30" w:after="30"/>
              <w:jc w:val="left"/>
            </w:pPr>
            <w:r>
              <w:rPr>
                <w:rFonts w:ascii="Times New Roman" w:hAnsi="Times New Roman" w:cs="Times New Roman"/>
                <w:b/>
                <w:color w:val="1A1A1A"/>
                <w:sz w:val="20"/>
                <w:szCs w:val="20"/>
              </w:rPr>
              <w:t xml:space="preserve">M.B.A.   |   Semester IV   |   Session 2024 - 2026</w:t>
            </w:r>
          </w:p>
        </w:tc>
      </w:tr>
    </w:tbl>
    <w:p>
      <w:pPr>
        <w:spacing w:before="0" w:after="0"/>
      </w:pPr>
      <w:r>
        <w:rPr>
          <w:sz w:val="20"/>
        </w:rPr>
        <w:t/>
      </w:r>
    </w:p>
    <w:p>
      <w:pPr>
        <w:spacing w:before="160" w:after="40"/>
        <w:jc w:val="center"/>
      </w:pPr>
      <w:r>
        <w:rPr>
          <w:rFonts w:ascii="Arial" w:hAnsi="Arial" w:cs="Arial"/>
          <w:b/>
          <w:color w:val="122F5C"/>
          <w:spacing w:val="40"/>
          <w:sz w:val="25"/>
          <w:szCs w:val="25"/>
        </w:rPr>
        <w:t xml:space="preserve">MAGADH UNIVERSITY, BODH GAYA</w:t>
      </w:r>
    </w:p>
    <w:p>
      <w:pPr>
        <w:spacing w:before="0" w:after="100"/>
        <w:jc w:val="center"/>
      </w:pPr>
      <w:r>
        <w:rPr>
          <w:rFonts w:ascii="Times New Roman" w:hAnsi="Times New Roman" w:cs="Times New Roman"/>
          <w:color w:val="444A55"/>
          <w:sz w:val="19"/>
          <w:szCs w:val="19"/>
        </w:rPr>
        <w:t xml:space="preserve">Department of Business Administration</w:t>
      </w:r>
    </w:p>
    <w:p>
      <w:pPr>
        <w:spacing w:before="0" w:after="60"/>
        <w:jc w:val="center"/>
      </w:pPr>
      <w:r>
        <w:rPr>
          <w:rFonts w:ascii="Times New Roman" w:hAnsi="Times New Roman" w:cs="Times New Roman"/>
          <w:i/>
          <w:color w:val="E87A1E"/>
          <w:sz w:val="19"/>
          <w:szCs w:val="19"/>
        </w:rPr>
        <w:t xml:space="preserve">Internship Period:  6th June 2026 to 21st July 2026</w:t>
      </w:r>
    </w:p>
    <w:p>
      <w:r>
        <w:br w:type="page"/>
      </w:r>
    </w:p>
    <w:p>
      <w:pPr>
        <w:pBdr>
          <w:bottom w:val="single" w:sz="14" w:space="2" w:color="E87A1E"/>
        </w:pBdr>
        <w:spacing w:before="200" w:after="60"/>
        <w:jc w:val="center"/>
      </w:pPr>
      <w:r>
        <w:rPr>
          <w:rFonts w:ascii="Arial" w:hAnsi="Arial" w:cs="Arial"/>
          <w:b/>
          <w:color w:val="122F5C"/>
          <w:spacing w:val="70"/>
          <w:sz w:val="33"/>
          <w:szCs w:val="33"/>
        </w:rPr>
        <w:t xml:space="preserve">CERTIFICATE OF COMPLETION</w:t>
      </w:r>
    </w:p>
    <w:p>
      <w:pPr>
        <w:spacing w:before="100" w:after="200"/>
        <w:jc w:val="center"/>
      </w:pPr>
      <w:r>
        <w:rPr>
          <w:rFonts w:ascii="Times New Roman" w:hAnsi="Times New Roman" w:cs="Times New Roman"/>
          <w:i/>
          <w:color w:val="444A55"/>
          <w:sz w:val="20"/>
          <w:szCs w:val="20"/>
        </w:rPr>
        <w:t xml:space="preserve">Issued by the Training Organisation</w:t>
      </w:r>
    </w:p>
    <w:p>
      <w:pPr>
        <w:spacing w:before="80" w:after="80"/>
        <w:jc w:val="center"/>
      </w:pPr>
      <w:r>
        <w:drawing>
          <wp:inline distT="0" distB="0" distL="0" distR="0">
            <wp:extent cx="2745740" cy="1427784"/>
            <wp:docPr id="2" name="Picture 2"/>
            <a:graphic>
              <a:graphicData uri="http://schemas.openxmlformats.org/drawingml/2006/picture">
                <pic:pic>
                  <pic:nvPicPr>
                    <pic:cNvPr id="2" name="logo_lockup.png"/>
                    <pic:cNvPicPr/>
                  </pic:nvPicPr>
                  <pic:blipFill>
                    <a:blip r:embed="rId101"/>
                    <a:stretch>
                      <a:fillRect/>
                    </a:stretch>
                  </pic:blipFill>
                  <pic:spPr>
                    <a:xfrm>
                      <a:off x="0" y="0"/>
                      <a:ext cx="2745740" cy="1427784"/>
                    </a:xfrm>
                    <a:prstGeom prst="rect">
                      <a:avLst/>
                    </a:prstGeom>
                  </pic:spPr>
                </pic:pic>
              </a:graphicData>
            </a:graphic>
          </wp:inline>
        </w:drawing>
      </w:r>
    </w:p>
    <w:p>
      <w:pPr>
        <w:spacing w:before="0" w:after="0"/>
      </w:pPr>
      <w:r>
        <w:rPr>
          <w:sz w:val="11"/>
        </w:rPr>
        <w:t/>
      </w:r>
    </w:p>
    <w:p>
      <w:pPr>
        <w:spacing w:before="0" w:after="130" w:line="264" w:lineRule="auto"/>
        <w:jc w:val="both"/>
      </w:pPr>
      <w:r>
        <w:rPr>
          <w:rFonts w:ascii="Times New Roman" w:hAnsi="Times New Roman" w:cs="Times New Roman"/>
          <w:color w:val="1A1A1A"/>
          <w:sz w:val="21"/>
          <w:szCs w:val="21"/>
        </w:rPr>
        <w:t xml:space="preserve">This is to certify that </w:t>
      </w:r>
      <w:r>
        <w:rPr>
          <w:rFonts w:ascii="Times New Roman" w:hAnsi="Times New Roman" w:cs="Times New Roman"/>
          <w:b/>
          <w:color w:val="1A1A1A"/>
          <w:sz w:val="21"/>
          <w:szCs w:val="21"/>
        </w:rPr>
        <w:t xml:space="preserve">Ms. Ganga Kumari Singh</w:t>
      </w:r>
      <w:r>
        <w:rPr>
          <w:rFonts w:ascii="Times New Roman" w:hAnsi="Times New Roman" w:cs="Times New Roman"/>
          <w:color w:val="1A1A1A"/>
          <w:sz w:val="21"/>
          <w:szCs w:val="21"/>
        </w:rPr>
        <w:t xml:space="preserve">, daughter of Shri Krishna Prasad Singh, a bona fide student of the Master of Business Administration (M.B.A.) programme of Magadh University, Bodh Gaya, bearing University Roll Number 24269010026 and Registration Number 1053595/20, has successfully completed a Summer Internship in the </w:t>
      </w:r>
      <w:r>
        <w:rPr>
          <w:rFonts w:ascii="Times New Roman" w:hAnsi="Times New Roman" w:cs="Times New Roman"/>
          <w:b/>
          <w:color w:val="1A1A1A"/>
          <w:sz w:val="21"/>
          <w:szCs w:val="21"/>
        </w:rPr>
        <w:t xml:space="preserve">Finance and Accounts function</w:t>
      </w:r>
      <w:r>
        <w:rPr>
          <w:rFonts w:ascii="Times New Roman" w:hAnsi="Times New Roman" w:cs="Times New Roman"/>
          <w:color w:val="1A1A1A"/>
          <w:sz w:val="21"/>
          <w:szCs w:val="21"/>
        </w:rPr>
        <w:t xml:space="preserve"> of </w:t>
      </w:r>
      <w:r>
        <w:rPr>
          <w:rFonts w:ascii="Times New Roman" w:hAnsi="Times New Roman" w:cs="Times New Roman"/>
          <w:b/>
          <w:color w:val="1A1A1A"/>
          <w:sz w:val="21"/>
          <w:szCs w:val="21"/>
        </w:rPr>
        <w:t xml:space="preserve">Infinity Interns</w:t>
      </w:r>
      <w:r>
        <w:rPr>
          <w:rFonts w:ascii="Times New Roman" w:hAnsi="Times New Roman" w:cs="Times New Roman"/>
          <w:color w:val="1A1A1A"/>
          <w:sz w:val="21"/>
          <w:szCs w:val="21"/>
        </w:rPr>
        <w:t xml:space="preserve">, a unit of Infinitya1 Career Counselling Private Limited, from </w:t>
      </w:r>
      <w:r>
        <w:rPr>
          <w:rFonts w:ascii="Times New Roman" w:hAnsi="Times New Roman" w:cs="Times New Roman"/>
          <w:b/>
          <w:color w:val="1A1A1A"/>
          <w:sz w:val="21"/>
          <w:szCs w:val="21"/>
        </w:rPr>
        <w:t xml:space="preserve">6th June 2026</w:t>
      </w:r>
      <w:r>
        <w:rPr>
          <w:rFonts w:ascii="Times New Roman" w:hAnsi="Times New Roman" w:cs="Times New Roman"/>
          <w:color w:val="1A1A1A"/>
          <w:sz w:val="21"/>
          <w:szCs w:val="21"/>
        </w:rPr>
        <w:t xml:space="preserve"> to </w:t>
      </w:r>
      <w:r>
        <w:rPr>
          <w:rFonts w:ascii="Times New Roman" w:hAnsi="Times New Roman" w:cs="Times New Roman"/>
          <w:b/>
          <w:color w:val="1A1A1A"/>
          <w:sz w:val="21"/>
          <w:szCs w:val="21"/>
        </w:rPr>
        <w:t xml:space="preserve">21st July 2026</w:t>
      </w:r>
      <w:r>
        <w:rPr>
          <w:rFonts w:ascii="Times New Roman" w:hAnsi="Times New Roman" w:cs="Times New Roman"/>
          <w:color w:val="1A1A1A"/>
          <w:sz w:val="21"/>
          <w:szCs w:val="21"/>
        </w:rPr>
        <w:t xml:space="preserve">, a period of Six Weeks and Five Days (46 Days).</w:t>
      </w:r>
    </w:p>
    <w:p>
      <w:pPr>
        <w:spacing w:before="0" w:after="130" w:line="264" w:lineRule="auto"/>
        <w:jc w:val="both"/>
      </w:pPr>
      <w:r>
        <w:rPr>
          <w:rFonts w:ascii="Times New Roman" w:hAnsi="Times New Roman" w:cs="Times New Roman"/>
          <w:color w:val="1A1A1A"/>
          <w:sz w:val="21"/>
          <w:szCs w:val="21"/>
        </w:rPr>
        <w:t xml:space="preserve">During the tenure of the internship she was assigned to the areas of financial record keeping, working capital and receivables monitoring, budgetary control and the preparation of management information reports. She studied the organisation's financial statements for three financial years and prepared a project report titled </w:t>
      </w:r>
      <w:r>
        <w:rPr>
          <w:rFonts w:ascii="Times New Roman" w:hAnsi="Times New Roman" w:cs="Times New Roman"/>
          <w:i/>
          <w:color w:val="1A1A1A"/>
          <w:sz w:val="21"/>
          <w:szCs w:val="21"/>
        </w:rPr>
        <w:t xml:space="preserve">“A Study on Financial Management Practices, Budgetary Control and Financial Performance Analysis”</w:t>
      </w:r>
      <w:r>
        <w:rPr>
          <w:rFonts w:ascii="Times New Roman" w:hAnsi="Times New Roman" w:cs="Times New Roman"/>
          <w:color w:val="1A1A1A"/>
          <w:sz w:val="21"/>
          <w:szCs w:val="21"/>
        </w:rPr>
        <w:t xml:space="preserve">.</w:t>
      </w:r>
    </w:p>
    <w:p>
      <w:pPr>
        <w:spacing w:before="0" w:after="130" w:line="264" w:lineRule="auto"/>
        <w:jc w:val="both"/>
      </w:pPr>
      <w:r>
        <w:rPr>
          <w:rFonts w:ascii="Times New Roman" w:hAnsi="Times New Roman" w:cs="Times New Roman"/>
          <w:color w:val="1A1A1A"/>
          <w:sz w:val="21"/>
          <w:szCs w:val="21"/>
        </w:rPr>
        <w:t xml:space="preserve">Her conduct during the internship was found to be </w:t>
      </w:r>
      <w:r>
        <w:rPr>
          <w:rFonts w:ascii="Times New Roman" w:hAnsi="Times New Roman" w:cs="Times New Roman"/>
          <w:b/>
          <w:color w:val="1A1A1A"/>
          <w:sz w:val="21"/>
          <w:szCs w:val="21"/>
        </w:rPr>
        <w:t xml:space="preserve">satisfactory and professional</w:t>
      </w:r>
      <w:r>
        <w:rPr>
          <w:rFonts w:ascii="Times New Roman" w:hAnsi="Times New Roman" w:cs="Times New Roman"/>
          <w:color w:val="1A1A1A"/>
          <w:sz w:val="21"/>
          <w:szCs w:val="21"/>
        </w:rPr>
        <w:t xml:space="preserve">. She displayed sincerity, punctuality, analytical ability and a willingness to learn. The work submitted by her is, to the best of our knowledge, her own original effort.</w:t>
      </w:r>
    </w:p>
    <w:p>
      <w:pPr>
        <w:spacing w:before="0" w:after="130" w:line="264" w:lineRule="auto"/>
        <w:jc w:val="both"/>
      </w:pPr>
      <w:r>
        <w:rPr>
          <w:rFonts w:ascii="Times New Roman" w:hAnsi="Times New Roman" w:cs="Times New Roman"/>
          <w:color w:val="1A1A1A"/>
          <w:sz w:val="21"/>
          <w:szCs w:val="21"/>
        </w:rPr>
        <w:t xml:space="preserve">We wish her every success in her future academic and professional endeavours.</w:t>
      </w:r>
    </w:p>
    <w:p>
      <w:pPr>
        <w:spacing w:before="0" w:after="0"/>
      </w:pPr>
      <w:r>
        <w:rPr>
          <w:sz w:val="28"/>
        </w:rPr>
        <w:t/>
      </w:r>
    </w:p>
    <w:p>
      <w:pPr>
        <w:spacing w:before="0" w:after="0"/>
      </w:pPr>
      <w:r>
        <w:rPr>
          <w:sz w:val="32"/>
        </w:rPr>
        <w:t/>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00" w:type="dxa"/>
          <w:right w:w="200" w:type="dxa"/>
        </w:tblCellMar>
      </w:tblPr>
      <w:tblGrid>
        <w:gridCol w:w="4809"/>
        <w:gridCol w:w="4809"/>
      </w:tblGrid>
      <w:tr>
        <w:tc>
          <w:tcPr>
            <w:tcW w:w="4809" w:type="dxa"/>
          </w:tcPr>
          <w:p>
            <w:pPr>
              <w:pBdr>
                <w:bottom w:val="single" w:sz="6" w:space="2" w:color="444A55"/>
              </w:pBdr>
              <w:spacing w:before="0" w:after="0"/>
            </w:pPr>
          </w:p>
          <w:p>
            <w:pPr>
              <w:spacing w:before="60" w:after="20"/>
              <w:jc w:val="center"/>
            </w:pPr>
            <w:r>
              <w:rPr>
                <w:rFonts w:ascii="Arial" w:hAnsi="Arial" w:cs="Arial"/>
                <w:b/>
                <w:color w:val="122F5C"/>
                <w:sz w:val="17"/>
                <w:szCs w:val="17"/>
              </w:rPr>
              <w:t xml:space="preserve">Training &amp; Placement Mentor</w:t>
            </w:r>
          </w:p>
          <w:p>
            <w:pPr>
              <w:spacing w:before="0" w:after="40"/>
              <w:jc w:val="center"/>
            </w:pPr>
            <w:r>
              <w:rPr>
                <w:rFonts w:ascii="Times New Roman" w:hAnsi="Times New Roman" w:cs="Times New Roman"/>
                <w:color w:val="444A55"/>
                <w:sz w:val="17"/>
                <w:szCs w:val="17"/>
              </w:rPr>
              <w:t xml:space="preserve">Infinity Interns, Patna</w:t>
            </w:r>
          </w:p>
        </w:tc>
        <w:tc>
          <w:tcPr>
            <w:tcW w:w="4809" w:type="dxa"/>
          </w:tcPr>
          <w:p>
            <w:pPr>
              <w:pBdr>
                <w:bottom w:val="single" w:sz="6" w:space="2" w:color="444A55"/>
              </w:pBdr>
              <w:spacing w:before="0" w:after="0"/>
            </w:pPr>
          </w:p>
          <w:p>
            <w:pPr>
              <w:spacing w:before="60" w:after="20"/>
              <w:jc w:val="center"/>
            </w:pPr>
            <w:r>
              <w:rPr>
                <w:rFonts w:ascii="Arial" w:hAnsi="Arial" w:cs="Arial"/>
                <w:b/>
                <w:color w:val="122F5C"/>
                <w:sz w:val="17"/>
                <w:szCs w:val="17"/>
              </w:rPr>
              <w:t xml:space="preserve">Authorised Signatory</w:t>
            </w:r>
          </w:p>
          <w:p>
            <w:pPr>
              <w:spacing w:before="0" w:after="40"/>
              <w:jc w:val="center"/>
            </w:pPr>
            <w:r>
              <w:rPr>
                <w:rFonts w:ascii="Times New Roman" w:hAnsi="Times New Roman" w:cs="Times New Roman"/>
                <w:color w:val="444A55"/>
                <w:sz w:val="17"/>
                <w:szCs w:val="17"/>
              </w:rPr>
              <w:t xml:space="preserve">Infinitya1 Career Counselling Private Limited</w:t>
            </w:r>
          </w:p>
        </w:tc>
      </w:tr>
    </w:tbl>
    <w:p>
      <w:pPr>
        <w:spacing w:before="0" w:after="0"/>
      </w:pPr>
      <w:r>
        <w:rPr>
          <w:sz w:val="20"/>
        </w:rPr>
        <w:t/>
      </w:r>
    </w:p>
    <w:p>
      <w:pPr>
        <w:spacing w:before="0" w:after="0"/>
      </w:pPr>
      <w:r>
        <w:rPr>
          <w:sz w:val="15"/>
        </w:rPr>
        <w:t/>
      </w:r>
    </w:p>
    <w:p>
      <w:pPr>
        <w:spacing w:before="0" w:after="100"/>
      </w:pPr>
      <w:r>
        <w:rPr>
          <w:rFonts w:ascii="Times New Roman" w:hAnsi="Times New Roman" w:cs="Times New Roman"/>
          <w:i/>
          <w:color w:val="444A55"/>
          <w:sz w:val="18"/>
          <w:szCs w:val="18"/>
        </w:rPr>
        <w:t xml:space="preserve">Registered Office: B-Hub, Maurya Lok Complex, Dak Bungalow Road, Patna, Bihar 800001</w:t>
      </w:r>
    </w:p>
    <w:p>
      <w:r>
        <w:br w:type="page"/>
      </w:r>
    </w:p>
    <w:p>
      <w:pPr>
        <w:pBdr>
          <w:bottom w:val="single" w:sz="14" w:space="2" w:color="E87A1E"/>
        </w:pBdr>
        <w:spacing w:before="200" w:after="60"/>
        <w:jc w:val="center"/>
      </w:pPr>
      <w:r>
        <w:rPr>
          <w:rFonts w:ascii="Arial" w:hAnsi="Arial" w:cs="Arial"/>
          <w:b/>
          <w:color w:val="122F5C"/>
          <w:spacing w:val="70"/>
          <w:sz w:val="33"/>
          <w:szCs w:val="33"/>
        </w:rPr>
        <w:t xml:space="preserve">CERTIFICATE OF THE GUIDE</w:t>
      </w:r>
    </w:p>
    <w:p>
      <w:pPr>
        <w:spacing w:before="100" w:after="200"/>
        <w:jc w:val="center"/>
      </w:pPr>
      <w:r>
        <w:rPr>
          <w:rFonts w:ascii="Times New Roman" w:hAnsi="Times New Roman" w:cs="Times New Roman"/>
          <w:i/>
          <w:color w:val="444A55"/>
          <w:sz w:val="20"/>
          <w:szCs w:val="20"/>
        </w:rPr>
        <w:t xml:space="preserve">Department of Business Administration</w:t>
      </w:r>
    </w:p>
    <w:p>
      <w:pPr>
        <w:spacing w:before="0" w:after="0"/>
      </w:pPr>
      <w:r>
        <w:rPr>
          <w:sz w:val="17"/>
        </w:rPr>
        <w:t/>
      </w:r>
    </w:p>
    <w:p>
      <w:pPr>
        <w:spacing w:before="0" w:after="130" w:line="264" w:lineRule="auto"/>
        <w:jc w:val="both"/>
      </w:pPr>
      <w:r>
        <w:rPr>
          <w:rFonts w:ascii="Times New Roman" w:hAnsi="Times New Roman" w:cs="Times New Roman"/>
          <w:color w:val="1A1A1A"/>
          <w:sz w:val="21"/>
          <w:szCs w:val="21"/>
        </w:rPr>
        <w:t xml:space="preserve">This is to certify that the Summer Internship Project Report entitled </w:t>
      </w:r>
      <w:r>
        <w:rPr>
          <w:rFonts w:ascii="Times New Roman" w:hAnsi="Times New Roman" w:cs="Times New Roman"/>
          <w:i/>
          <w:color w:val="1A1A1A"/>
          <w:sz w:val="21"/>
          <w:szCs w:val="21"/>
        </w:rPr>
        <w:t xml:space="preserve">“A Study on Financial Management Practices, Budgetary Control and Financial Performance Analysis”</w:t>
      </w:r>
      <w:r>
        <w:rPr>
          <w:rFonts w:ascii="Times New Roman" w:hAnsi="Times New Roman" w:cs="Times New Roman"/>
          <w:color w:val="1A1A1A"/>
          <w:sz w:val="21"/>
          <w:szCs w:val="21"/>
        </w:rPr>
        <w:t xml:space="preserve">, carried out at Infinity Interns (Infinitya1 Career Counselling Private Limited), B-Hub, Maurya Lok Complex, Patna, Bihar, is a record of original work done by </w:t>
      </w:r>
      <w:r>
        <w:rPr>
          <w:rFonts w:ascii="Times New Roman" w:hAnsi="Times New Roman" w:cs="Times New Roman"/>
          <w:b/>
          <w:color w:val="1A1A1A"/>
          <w:sz w:val="21"/>
          <w:szCs w:val="21"/>
        </w:rPr>
        <w:t xml:space="preserve">Ms. Ganga Kumari Singh</w:t>
      </w:r>
      <w:r>
        <w:rPr>
          <w:rFonts w:ascii="Times New Roman" w:hAnsi="Times New Roman" w:cs="Times New Roman"/>
          <w:color w:val="1A1A1A"/>
          <w:sz w:val="21"/>
          <w:szCs w:val="21"/>
        </w:rPr>
        <w:t xml:space="preserve"> under my supervision and guidance.</w:t>
      </w:r>
    </w:p>
    <w:p>
      <w:pPr>
        <w:spacing w:before="0" w:after="130" w:line="264" w:lineRule="auto"/>
        <w:jc w:val="both"/>
      </w:pPr>
      <w:r>
        <w:rPr>
          <w:rFonts w:ascii="Times New Roman" w:hAnsi="Times New Roman" w:cs="Times New Roman"/>
          <w:color w:val="1A1A1A"/>
          <w:sz w:val="21"/>
          <w:szCs w:val="21"/>
        </w:rPr>
        <w:t xml:space="preserve">The report is submitted in partial fulfilment of the requirements for the award of the degree of Master of Business Administration (M.B.A.) with specialisation in Financial Management of Magadh University, Bodh Gaya for the academic session 2024 - 2026.</w:t>
      </w:r>
    </w:p>
    <w:p>
      <w:pPr>
        <w:spacing w:before="0" w:after="130" w:line="264" w:lineRule="auto"/>
        <w:jc w:val="both"/>
      </w:pPr>
      <w:r>
        <w:rPr>
          <w:rFonts w:ascii="Times New Roman" w:hAnsi="Times New Roman" w:cs="Times New Roman"/>
          <w:color w:val="1A1A1A"/>
          <w:sz w:val="21"/>
          <w:szCs w:val="21"/>
        </w:rPr>
        <w:t xml:space="preserve">To the best of my knowledge and belief, the work embodied in this report has not been submitted, either in part or in full, to any other university or institution for the award of any degree or diploma. The candidate has completed the prescribed period of training and has fulfilled the requirements of the internship component of the curriculum.</w:t>
      </w:r>
    </w:p>
    <w:p>
      <w:pPr>
        <w:spacing w:before="0" w:after="0"/>
      </w:pPr>
      <w:r>
        <w:rPr>
          <w:sz w:val="22"/>
        </w:rPr>
        <w:t/>
      </w:r>
    </w:p>
    <w:p>
      <w:pPr>
        <w:keepNext/>
        <w:keepLines/>
        <w:pBdr>
          <w:left w:val="single" w:sz="8" w:space="6" w:color="C8CED6"/>
        </w:pBdr>
        <w:spacing w:before="140" w:after="40"/>
        <w:ind w:left="200" w:right="0" w:firstLine="0"/>
      </w:pPr>
      <w:r>
        <w:rPr>
          <w:rFonts w:ascii="Arial" w:hAnsi="Arial" w:cs="Arial"/>
          <w:b/>
          <w:color w:val="1B4B8A"/>
          <w:sz w:val="19"/>
          <w:szCs w:val="19"/>
        </w:rPr>
        <w:t xml:space="preserve">Candidate</w:t>
      </w:r>
    </w:p>
    <w:p>
      <w:pPr>
        <w:spacing w:before="0" w:after="120" w:line="264" w:lineRule="auto"/>
        <w:ind w:left="200" w:right="0" w:firstLine="0"/>
        <w:jc w:val="both"/>
      </w:pPr>
      <w:r>
        <w:rPr>
          <w:rFonts w:ascii="Times New Roman" w:hAnsi="Times New Roman" w:cs="Times New Roman"/>
          <w:color w:val="1A1A1A"/>
          <w:sz w:val="21"/>
          <w:szCs w:val="21"/>
        </w:rPr>
        <w:t xml:space="preserve">Ms. Ganga Kumari Singh</w:t>
      </w:r>
    </w:p>
    <w:p>
      <w:pPr>
        <w:keepNext/>
        <w:keepLines/>
        <w:pBdr>
          <w:left w:val="single" w:sz="8" w:space="6" w:color="C8CED6"/>
        </w:pBdr>
        <w:spacing w:before="140" w:after="40"/>
        <w:ind w:left="200" w:right="0" w:firstLine="0"/>
      </w:pPr>
      <w:r>
        <w:rPr>
          <w:rFonts w:ascii="Arial" w:hAnsi="Arial" w:cs="Arial"/>
          <w:b/>
          <w:color w:val="1B4B8A"/>
          <w:sz w:val="19"/>
          <w:szCs w:val="19"/>
        </w:rPr>
        <w:t xml:space="preserve">Roll Number</w:t>
      </w:r>
    </w:p>
    <w:p>
      <w:pPr>
        <w:spacing w:before="0" w:after="120" w:line="264" w:lineRule="auto"/>
        <w:ind w:left="200" w:right="0" w:firstLine="0"/>
        <w:jc w:val="both"/>
      </w:pPr>
      <w:r>
        <w:rPr>
          <w:rFonts w:ascii="Times New Roman" w:hAnsi="Times New Roman" w:cs="Times New Roman"/>
          <w:color w:val="1A1A1A"/>
          <w:sz w:val="21"/>
          <w:szCs w:val="21"/>
        </w:rPr>
        <w:t xml:space="preserve">24269010026</w:t>
      </w:r>
    </w:p>
    <w:p>
      <w:pPr>
        <w:keepNext/>
        <w:keepLines/>
        <w:pBdr>
          <w:left w:val="single" w:sz="8" w:space="6" w:color="C8CED6"/>
        </w:pBdr>
        <w:spacing w:before="140" w:after="40"/>
        <w:ind w:left="200" w:right="0" w:firstLine="0"/>
      </w:pPr>
      <w:r>
        <w:rPr>
          <w:rFonts w:ascii="Arial" w:hAnsi="Arial" w:cs="Arial"/>
          <w:b/>
          <w:color w:val="1B4B8A"/>
          <w:sz w:val="19"/>
          <w:szCs w:val="19"/>
        </w:rPr>
        <w:t xml:space="preserve">Registration Number</w:t>
      </w:r>
    </w:p>
    <w:p>
      <w:pPr>
        <w:spacing w:before="0" w:after="120" w:line="264" w:lineRule="auto"/>
        <w:ind w:left="200" w:right="0" w:firstLine="0"/>
        <w:jc w:val="both"/>
      </w:pPr>
      <w:r>
        <w:rPr>
          <w:rFonts w:ascii="Times New Roman" w:hAnsi="Times New Roman" w:cs="Times New Roman"/>
          <w:color w:val="1A1A1A"/>
          <w:sz w:val="21"/>
          <w:szCs w:val="21"/>
        </w:rPr>
        <w:t xml:space="preserve">1053595/20</w:t>
      </w:r>
    </w:p>
    <w:p>
      <w:pPr>
        <w:keepNext/>
        <w:keepLines/>
        <w:pBdr>
          <w:left w:val="single" w:sz="8" w:space="6" w:color="C8CED6"/>
        </w:pBdr>
        <w:spacing w:before="140" w:after="40"/>
        <w:ind w:left="200" w:right="0" w:firstLine="0"/>
      </w:pPr>
      <w:r>
        <w:rPr>
          <w:rFonts w:ascii="Arial" w:hAnsi="Arial" w:cs="Arial"/>
          <w:b/>
          <w:color w:val="1B4B8A"/>
          <w:sz w:val="19"/>
          <w:szCs w:val="19"/>
        </w:rPr>
        <w:t xml:space="preserve">Programme</w:t>
      </w:r>
    </w:p>
    <w:p>
      <w:pPr>
        <w:spacing w:before="0" w:after="120" w:line="264" w:lineRule="auto"/>
        <w:ind w:left="200" w:right="0" w:firstLine="0"/>
        <w:jc w:val="both"/>
      </w:pPr>
      <w:r>
        <w:rPr>
          <w:rFonts w:ascii="Times New Roman" w:hAnsi="Times New Roman" w:cs="Times New Roman"/>
          <w:color w:val="1A1A1A"/>
          <w:sz w:val="21"/>
          <w:szCs w:val="21"/>
        </w:rPr>
        <w:t xml:space="preserve">Master of Business Administration (M.B.A.) – Semester IV</w:t>
      </w:r>
    </w:p>
    <w:p>
      <w:pPr>
        <w:keepNext/>
        <w:keepLines/>
        <w:pBdr>
          <w:left w:val="single" w:sz="8" w:space="6" w:color="C8CED6"/>
        </w:pBdr>
        <w:spacing w:before="140" w:after="40"/>
        <w:ind w:left="200" w:right="0" w:firstLine="0"/>
      </w:pPr>
      <w:r>
        <w:rPr>
          <w:rFonts w:ascii="Arial" w:hAnsi="Arial" w:cs="Arial"/>
          <w:b/>
          <w:color w:val="1B4B8A"/>
          <w:sz w:val="19"/>
          <w:szCs w:val="19"/>
        </w:rPr>
        <w:t xml:space="preserve">Specialisation</w:t>
      </w:r>
    </w:p>
    <w:p>
      <w:pPr>
        <w:spacing w:before="0" w:after="120" w:line="264" w:lineRule="auto"/>
        <w:ind w:left="200" w:right="0" w:firstLine="0"/>
        <w:jc w:val="both"/>
      </w:pPr>
      <w:r>
        <w:rPr>
          <w:rFonts w:ascii="Times New Roman" w:hAnsi="Times New Roman" w:cs="Times New Roman"/>
          <w:color w:val="1A1A1A"/>
          <w:sz w:val="21"/>
          <w:szCs w:val="21"/>
        </w:rPr>
        <w:t xml:space="preserve">Financial Management (FM)</w:t>
      </w:r>
    </w:p>
    <w:p>
      <w:pPr>
        <w:keepNext/>
        <w:keepLines/>
        <w:pBdr>
          <w:left w:val="single" w:sz="8" w:space="6" w:color="C8CED6"/>
        </w:pBdr>
        <w:spacing w:before="140" w:after="40"/>
        <w:ind w:left="200" w:right="0" w:firstLine="0"/>
      </w:pPr>
      <w:r>
        <w:rPr>
          <w:rFonts w:ascii="Arial" w:hAnsi="Arial" w:cs="Arial"/>
          <w:b/>
          <w:color w:val="1B4B8A"/>
          <w:sz w:val="19"/>
          <w:szCs w:val="19"/>
        </w:rPr>
        <w:t xml:space="preserve">Session</w:t>
      </w:r>
    </w:p>
    <w:p>
      <w:pPr>
        <w:spacing w:before="0" w:after="120" w:line="264" w:lineRule="auto"/>
        <w:ind w:left="200" w:right="0" w:firstLine="0"/>
        <w:jc w:val="both"/>
      </w:pPr>
      <w:r>
        <w:rPr>
          <w:rFonts w:ascii="Times New Roman" w:hAnsi="Times New Roman" w:cs="Times New Roman"/>
          <w:color w:val="1A1A1A"/>
          <w:sz w:val="21"/>
          <w:szCs w:val="21"/>
        </w:rPr>
        <w:t xml:space="preserve">2024 - 2026</w:t>
      </w:r>
    </w:p>
    <w:p>
      <w:pPr>
        <w:spacing w:before="0" w:after="0"/>
      </w:pPr>
      <w:r>
        <w:rPr>
          <w:sz w:val="28"/>
        </w:rPr>
        <w:t/>
      </w:r>
    </w:p>
    <w:p>
      <w:pPr>
        <w:spacing w:before="0" w:after="0"/>
      </w:pPr>
      <w:r>
        <w:rPr>
          <w:sz w:val="32"/>
        </w:rPr>
        <w:t/>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00" w:type="dxa"/>
          <w:right w:w="200" w:type="dxa"/>
        </w:tblCellMar>
      </w:tblPr>
      <w:tblGrid>
        <w:gridCol w:w="4809"/>
        <w:gridCol w:w="4809"/>
      </w:tblGrid>
      <w:tr>
        <w:tc>
          <w:tcPr>
            <w:tcW w:w="4809" w:type="dxa"/>
          </w:tcPr>
          <w:p>
            <w:pPr>
              <w:pBdr>
                <w:bottom w:val="single" w:sz="6" w:space="2" w:color="444A55"/>
              </w:pBdr>
              <w:spacing w:before="0" w:after="0"/>
            </w:pPr>
          </w:p>
          <w:p>
            <w:pPr>
              <w:spacing w:before="60" w:after="20"/>
              <w:jc w:val="center"/>
            </w:pPr>
            <w:r>
              <w:rPr>
                <w:rFonts w:ascii="Arial" w:hAnsi="Arial" w:cs="Arial"/>
                <w:b/>
                <w:color w:val="122F5C"/>
                <w:sz w:val="17"/>
                <w:szCs w:val="17"/>
              </w:rPr>
              <w:t xml:space="preserve">Project Guide</w:t>
            </w:r>
          </w:p>
          <w:p>
            <w:pPr>
              <w:spacing w:before="0" w:after="40"/>
              <w:jc w:val="center"/>
            </w:pPr>
            <w:r>
              <w:rPr>
                <w:rFonts w:ascii="Times New Roman" w:hAnsi="Times New Roman" w:cs="Times New Roman"/>
                <w:color w:val="444A55"/>
                <w:sz w:val="17"/>
                <w:szCs w:val="17"/>
              </w:rPr>
              <w:t xml:space="preserve">Department of Business Administration</w:t>
            </w:r>
          </w:p>
        </w:tc>
        <w:tc>
          <w:tcPr>
            <w:tcW w:w="4809" w:type="dxa"/>
          </w:tcPr>
          <w:p>
            <w:pPr>
              <w:pBdr>
                <w:bottom w:val="single" w:sz="6" w:space="2" w:color="444A55"/>
              </w:pBdr>
              <w:spacing w:before="0" w:after="0"/>
            </w:pPr>
          </w:p>
          <w:p>
            <w:pPr>
              <w:spacing w:before="60" w:after="20"/>
              <w:jc w:val="center"/>
            </w:pPr>
            <w:r>
              <w:rPr>
                <w:rFonts w:ascii="Arial" w:hAnsi="Arial" w:cs="Arial"/>
                <w:b/>
                <w:color w:val="122F5C"/>
                <w:sz w:val="17"/>
                <w:szCs w:val="17"/>
              </w:rPr>
              <w:t xml:space="preserve">Head of the Department</w:t>
            </w:r>
          </w:p>
          <w:p>
            <w:pPr>
              <w:spacing w:before="0" w:after="40"/>
              <w:jc w:val="center"/>
            </w:pPr>
            <w:r>
              <w:rPr>
                <w:rFonts w:ascii="Times New Roman" w:hAnsi="Times New Roman" w:cs="Times New Roman"/>
                <w:color w:val="444A55"/>
                <w:sz w:val="17"/>
                <w:szCs w:val="17"/>
              </w:rPr>
              <w:t xml:space="preserve">Magadh University, Bodh Gaya</w:t>
            </w:r>
          </w:p>
        </w:tc>
      </w:tr>
    </w:tbl>
    <w:p>
      <w:pPr>
        <w:spacing w:before="0" w:after="0"/>
      </w:pPr>
      <w:r>
        <w:rPr>
          <w:sz w:val="20"/>
        </w:rPr>
        <w:t/>
      </w:r>
    </w:p>
    <w:p>
      <w:r>
        <w:br w:type="page"/>
      </w:r>
    </w:p>
    <w:p>
      <w:pPr>
        <w:pBdr>
          <w:bottom w:val="single" w:sz="14" w:space="2" w:color="E87A1E"/>
        </w:pBdr>
        <w:spacing w:before="200" w:after="60"/>
        <w:jc w:val="center"/>
      </w:pPr>
      <w:r>
        <w:rPr>
          <w:rFonts w:ascii="Arial" w:hAnsi="Arial" w:cs="Arial"/>
          <w:b/>
          <w:color w:val="122F5C"/>
          <w:spacing w:val="70"/>
          <w:sz w:val="33"/>
          <w:szCs w:val="33"/>
        </w:rPr>
        <w:t xml:space="preserve">DECLARATION</w:t>
      </w:r>
    </w:p>
    <w:p>
      <w:pPr>
        <w:spacing w:before="100" w:after="200"/>
        <w:jc w:val="center"/>
      </w:pPr>
      <w:r>
        <w:rPr>
          <w:rFonts w:ascii="Times New Roman" w:hAnsi="Times New Roman" w:cs="Times New Roman"/>
          <w:i/>
          <w:color w:val="444A55"/>
          <w:sz w:val="20"/>
          <w:szCs w:val="20"/>
        </w:rPr>
        <w:t xml:space="preserve">By the Candidate</w:t>
      </w:r>
    </w:p>
    <w:p>
      <w:pPr>
        <w:spacing w:before="0" w:after="0"/>
      </w:pPr>
      <w:r>
        <w:rPr>
          <w:sz w:val="17"/>
        </w:rPr>
        <w:t/>
      </w:r>
    </w:p>
    <w:p>
      <w:pPr>
        <w:spacing w:before="0" w:after="130" w:line="264" w:lineRule="auto"/>
        <w:jc w:val="both"/>
      </w:pPr>
      <w:r>
        <w:rPr>
          <w:rFonts w:ascii="Times New Roman" w:hAnsi="Times New Roman" w:cs="Times New Roman"/>
          <w:color w:val="1A1A1A"/>
          <w:sz w:val="21"/>
          <w:szCs w:val="21"/>
        </w:rPr>
        <w:t xml:space="preserve">I, </w:t>
      </w:r>
      <w:r>
        <w:rPr>
          <w:rFonts w:ascii="Times New Roman" w:hAnsi="Times New Roman" w:cs="Times New Roman"/>
          <w:b/>
          <w:color w:val="1A1A1A"/>
          <w:sz w:val="21"/>
          <w:szCs w:val="21"/>
        </w:rPr>
        <w:t xml:space="preserve">Ganga Kumari Singh</w:t>
      </w:r>
      <w:r>
        <w:rPr>
          <w:rFonts w:ascii="Times New Roman" w:hAnsi="Times New Roman" w:cs="Times New Roman"/>
          <w:color w:val="1A1A1A"/>
          <w:sz w:val="21"/>
          <w:szCs w:val="21"/>
        </w:rPr>
        <w:t xml:space="preserve">, daughter of Shri Krishna Prasad Singh, a student of Master of Business Administration (M.B.A.) (Semester IV) with specialisation in Financial Management at Magadh University, Bodh Gaya, do hereby solemnly declare that the Summer Internship Project Report entitled </w:t>
      </w:r>
      <w:r>
        <w:rPr>
          <w:rFonts w:ascii="Times New Roman" w:hAnsi="Times New Roman" w:cs="Times New Roman"/>
          <w:i/>
          <w:color w:val="1A1A1A"/>
          <w:sz w:val="21"/>
          <w:szCs w:val="21"/>
        </w:rPr>
        <w:t xml:space="preserve">“A Study on Financial Management Practices, Budgetary Control and Financial Performance Analysis”</w:t>
      </w:r>
      <w:r>
        <w:rPr>
          <w:rFonts w:ascii="Times New Roman" w:hAnsi="Times New Roman" w:cs="Times New Roman"/>
          <w:color w:val="1A1A1A"/>
          <w:sz w:val="21"/>
          <w:szCs w:val="21"/>
        </w:rPr>
        <w:t xml:space="preserve"> is the outcome of my own independent study and investigation carried out at Infinity Interns, B-Hub, Maurya Lok Complex, Patna, Bihar, during the period from 6th June 2026 to 21st July 2026.</w:t>
      </w:r>
    </w:p>
    <w:p>
      <w:pPr>
        <w:spacing w:before="0" w:after="130" w:line="264" w:lineRule="auto"/>
        <w:jc w:val="both"/>
      </w:pPr>
      <w:r>
        <w:rPr>
          <w:rFonts w:ascii="Times New Roman" w:hAnsi="Times New Roman" w:cs="Times New Roman"/>
          <w:color w:val="1A1A1A"/>
          <w:sz w:val="21"/>
          <w:szCs w:val="21"/>
        </w:rPr>
        <w:t xml:space="preserve">I further declare that:</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1.</w:t>
      </w:r>
      <w:r>
        <w:tab/>
      </w:r>
      <w:r>
        <w:rPr>
          <w:rFonts w:ascii="Times New Roman" w:hAnsi="Times New Roman" w:cs="Times New Roman"/>
          <w:color w:val="1A1A1A"/>
          <w:sz w:val="21"/>
          <w:szCs w:val="21"/>
        </w:rPr>
        <w:t xml:space="preserve">The work presented in this report is original and has been carried out by me under the guidance of my faculty supervisor and the mentor assigned by the organisation.</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2.</w:t>
      </w:r>
      <w:r>
        <w:tab/>
      </w:r>
      <w:r>
        <w:rPr>
          <w:rFonts w:ascii="Times New Roman" w:hAnsi="Times New Roman" w:cs="Times New Roman"/>
          <w:color w:val="1A1A1A"/>
          <w:sz w:val="21"/>
          <w:szCs w:val="21"/>
        </w:rPr>
        <w:t xml:space="preserve">The financial and operational information reproduced in this report has been used purely for academic analysis, with the permission of the organisation, and no confidential data has been disclosed in a manner prejudicial to its interests.</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3.</w:t>
      </w:r>
      <w:r>
        <w:tab/>
      </w:r>
      <w:r>
        <w:rPr>
          <w:rFonts w:ascii="Times New Roman" w:hAnsi="Times New Roman" w:cs="Times New Roman"/>
          <w:color w:val="1A1A1A"/>
          <w:sz w:val="21"/>
          <w:szCs w:val="21"/>
        </w:rPr>
        <w:t xml:space="preserve">The figures presented are indicative management figures made available for the limited purpose of this academic study and do not represent audited statutory accounts.</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4.</w:t>
      </w:r>
      <w:r>
        <w:tab/>
      </w:r>
      <w:r>
        <w:rPr>
          <w:rFonts w:ascii="Times New Roman" w:hAnsi="Times New Roman" w:cs="Times New Roman"/>
          <w:color w:val="1A1A1A"/>
          <w:sz w:val="21"/>
          <w:szCs w:val="21"/>
        </w:rPr>
        <w:t xml:space="preserve">Wherever the work of other authors has been referred to, due acknowledgement has been made in the body of the report and in the bibliography.</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5.</w:t>
      </w:r>
      <w:r>
        <w:tab/>
      </w:r>
      <w:r>
        <w:rPr>
          <w:rFonts w:ascii="Times New Roman" w:hAnsi="Times New Roman" w:cs="Times New Roman"/>
          <w:color w:val="1A1A1A"/>
          <w:sz w:val="21"/>
          <w:szCs w:val="21"/>
        </w:rPr>
        <w:t xml:space="preserve">This report has not been submitted, in whole or in part, to any other university or institution for the award of any degree, diploma or certificate.</w:t>
      </w:r>
    </w:p>
    <w:p>
      <w:pPr>
        <w:spacing w:before="0" w:after="0"/>
      </w:pPr>
      <w:r>
        <w:rPr>
          <w:sz w:val="26"/>
        </w:rPr>
        <w:t/>
      </w:r>
    </w:p>
    <w:tbl>
      <w:tblPr>
        <w:tblW w:w="9618" w:type="dxa"/>
        <w:tblBorders>
          <w:top w:val="single" w:sz="4" w:space="0" w:color="EEF4FB"/>
          <w:left w:val="single" w:sz="24" w:space="0" w:color="1B4B8A"/>
          <w:bottom w:val="single" w:sz="4" w:space="0" w:color="EEF4FB"/>
          <w:right w:val="single" w:sz="4" w:space="0" w:color="EEF4FB"/>
        </w:tblBorders>
        <w:tblCellMar>
          <w:top w:w="120" w:type="dxa"/>
          <w:left w:w="180" w:type="dxa"/>
          <w:bottom w:w="120" w:type="dxa"/>
          <w:right w:w="160" w:type="dxa"/>
        </w:tblCellMar>
      </w:tblPr>
      <w:tblGrid>
        <w:gridCol w:w="9618"/>
      </w:tblGrid>
      <w:tr>
        <w:tc>
          <w:tcPr>
            <w:tcW w:w="9618" w:type="dxa"/>
            <w:shd w:val="clear" w:color="auto" w:fill="EEF4FB"/>
          </w:tcPr>
          <w:p>
            <w:pPr>
              <w:spacing w:before="0" w:after="60"/>
            </w:pPr>
            <w:r>
              <w:rPr>
                <w:rFonts w:ascii="Arial" w:hAnsi="Arial" w:cs="Arial"/>
                <w:b/>
                <w:color w:val="1B4B8A"/>
                <w:sz w:val="20"/>
                <w:szCs w:val="20"/>
              </w:rPr>
              <w:t xml:space="preserve">Academic Integrity</w:t>
            </w:r>
          </w:p>
          <w:p>
            <w:pPr>
              <w:spacing w:before="0" w:after="0" w:line="250" w:lineRule="auto"/>
              <w:jc w:val="both"/>
            </w:pPr>
            <w:r>
              <w:rPr>
                <w:rFonts w:ascii="Times New Roman" w:hAnsi="Times New Roman" w:cs="Times New Roman"/>
                <w:color w:val="1A1A1A"/>
                <w:sz w:val="19"/>
                <w:szCs w:val="19"/>
              </w:rPr>
              <w:t xml:space="preserve">I understand that any misrepresentation, plagiarism or fabrication of data would render this report liable to rejection and would attract such action as the University may deem appropriate.</w:t>
            </w:r>
          </w:p>
        </w:tc>
      </w:tr>
    </w:tbl>
    <w:p>
      <w:pPr>
        <w:spacing w:before="0" w:after="0"/>
      </w:pPr>
      <w:r>
        <w:rPr>
          <w:sz w:val="12"/>
        </w:rPr>
        <w:t/>
      </w:r>
    </w:p>
    <w:p>
      <w:pPr>
        <w:spacing w:before="0" w:after="0"/>
      </w:pPr>
      <w:r>
        <w:rPr>
          <w:sz w:val="24"/>
        </w:rPr>
        <w:t/>
      </w:r>
    </w:p>
    <w:p>
      <w:pPr>
        <w:spacing w:before="0" w:after="0"/>
      </w:pPr>
      <w:r>
        <w:rPr>
          <w:sz w:val="32"/>
        </w:rPr>
        <w:t/>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00" w:type="dxa"/>
          <w:right w:w="200" w:type="dxa"/>
        </w:tblCellMar>
      </w:tblPr>
      <w:tblGrid>
        <w:gridCol w:w="4809"/>
        <w:gridCol w:w="4809"/>
      </w:tblGrid>
      <w:tr>
        <w:tc>
          <w:tcPr>
            <w:tcW w:w="4809" w:type="dxa"/>
          </w:tcPr>
          <w:p>
            <w:pPr>
              <w:pBdr>
                <w:bottom w:val="single" w:sz="6" w:space="2" w:color="444A55"/>
              </w:pBdr>
              <w:spacing w:before="0" w:after="0"/>
            </w:pPr>
          </w:p>
          <w:p>
            <w:pPr>
              <w:spacing w:before="0" w:after="40"/>
              <w:jc w:val="center"/>
            </w:pPr>
            <w:r>
              <w:rPr>
                <w:rFonts w:ascii="Times New Roman" w:hAnsi="Times New Roman" w:cs="Times New Roman"/>
                <w:color w:val="444A55"/>
                <w:sz w:val="17"/>
                <w:szCs w:val="17"/>
              </w:rPr>
              <w:t xml:space="preserve">Signature of the Candidate</w:t>
            </w:r>
          </w:p>
        </w:tc>
        <w:tc>
          <w:tcPr>
            <w:tcW w:w="4809" w:type="dxa"/>
          </w:tcPr>
          <w:p>
            <w:pPr>
              <w:pBdr>
                <w:bottom w:val="single" w:sz="6" w:space="2" w:color="444A55"/>
              </w:pBdr>
              <w:spacing w:before="0" w:after="0"/>
            </w:pPr>
          </w:p>
          <w:p>
            <w:pPr>
              <w:spacing w:before="0" w:after="40"/>
              <w:jc w:val="center"/>
            </w:pPr>
            <w:r>
              <w:rPr>
                <w:rFonts w:ascii="Times New Roman" w:hAnsi="Times New Roman" w:cs="Times New Roman"/>
                <w:color w:val="444A55"/>
                <w:sz w:val="17"/>
                <w:szCs w:val="17"/>
              </w:rPr>
              <w:t xml:space="preserve">Ganga Kumari Singh</w:t>
            </w:r>
          </w:p>
        </w:tc>
      </w:tr>
    </w:tbl>
    <w:p>
      <w:pPr>
        <w:spacing w:before="0" w:after="0"/>
      </w:pPr>
      <w:r>
        <w:rPr>
          <w:sz w:val="20"/>
        </w:rPr>
        <w:t/>
      </w:r>
    </w:p>
    <w:p>
      <w:pPr>
        <w:spacing w:before="0" w:after="100"/>
      </w:pPr>
      <w:r>
        <w:rPr>
          <w:rFonts w:ascii="Times New Roman" w:hAnsi="Times New Roman" w:cs="Times New Roman"/>
          <w:i/>
          <w:color w:val="444A55"/>
          <w:sz w:val="18"/>
          <w:szCs w:val="18"/>
        </w:rPr>
        <w:t xml:space="preserve">Place: Patna          Date: 21st July 2026</w:t>
      </w:r>
    </w:p>
    <w:p>
      <w:r>
        <w:br w:type="page"/>
      </w:r>
    </w:p>
    <w:p>
      <w:pPr>
        <w:pBdr>
          <w:bottom w:val="single" w:sz="14" w:space="2" w:color="E87A1E"/>
        </w:pBdr>
        <w:spacing w:before="200" w:after="60"/>
        <w:jc w:val="center"/>
      </w:pPr>
      <w:r>
        <w:rPr>
          <w:rFonts w:ascii="Arial" w:hAnsi="Arial" w:cs="Arial"/>
          <w:b/>
          <w:color w:val="122F5C"/>
          <w:spacing w:val="70"/>
          <w:sz w:val="33"/>
          <w:szCs w:val="33"/>
        </w:rPr>
        <w:t xml:space="preserve">ACKNOWLEDGEMENT</w:t>
      </w:r>
    </w:p>
    <w:p>
      <w:pPr>
        <w:spacing w:before="100" w:after="200"/>
        <w:jc w:val="center"/>
      </w:pPr>
      <w:r>
        <w:rPr>
          <w:rFonts w:ascii="Times New Roman" w:hAnsi="Times New Roman" w:cs="Times New Roman"/>
          <w:i/>
          <w:color w:val="444A55"/>
          <w:sz w:val="20"/>
          <w:szCs w:val="20"/>
        </w:rPr>
        <w:t xml:space="preserve">Gratitude and Appreciation</w:t>
      </w:r>
    </w:p>
    <w:p>
      <w:pPr>
        <w:spacing w:before="0" w:after="0"/>
      </w:pPr>
      <w:r>
        <w:rPr>
          <w:sz w:val="13"/>
        </w:rPr>
        <w:t/>
      </w:r>
    </w:p>
    <w:p>
      <w:pPr>
        <w:spacing w:before="0" w:after="130" w:line="264" w:lineRule="auto"/>
        <w:jc w:val="both"/>
      </w:pPr>
      <w:r>
        <w:rPr>
          <w:rFonts w:ascii="Times New Roman" w:hAnsi="Times New Roman" w:cs="Times New Roman"/>
          <w:color w:val="1A1A1A"/>
          <w:sz w:val="21"/>
          <w:szCs w:val="21"/>
        </w:rPr>
        <w:t xml:space="preserve">The completion of this internship and the preparation of this report would not have been possible without the guidance, encouragement and generosity of a number of people, and it is a privilege to record my gratitude to them.</w:t>
      </w:r>
    </w:p>
    <w:p>
      <w:pPr>
        <w:spacing w:before="0" w:after="130" w:line="264" w:lineRule="auto"/>
        <w:jc w:val="both"/>
      </w:pPr>
      <w:r>
        <w:rPr>
          <w:rFonts w:ascii="Times New Roman" w:hAnsi="Times New Roman" w:cs="Times New Roman"/>
          <w:color w:val="1A1A1A"/>
          <w:sz w:val="21"/>
          <w:szCs w:val="21"/>
        </w:rPr>
        <w:t xml:space="preserve">At the outset, I express my sincere thanks to the </w:t>
      </w:r>
      <w:r>
        <w:rPr>
          <w:rFonts w:ascii="Times New Roman" w:hAnsi="Times New Roman" w:cs="Times New Roman"/>
          <w:b/>
          <w:color w:val="1A1A1A"/>
          <w:sz w:val="21"/>
          <w:szCs w:val="21"/>
        </w:rPr>
        <w:t xml:space="preserve">Department of Business Administration, Magadh University, Bodh Gaya</w:t>
      </w:r>
      <w:r>
        <w:rPr>
          <w:rFonts w:ascii="Times New Roman" w:hAnsi="Times New Roman" w:cs="Times New Roman"/>
          <w:color w:val="1A1A1A"/>
          <w:sz w:val="21"/>
          <w:szCs w:val="21"/>
        </w:rPr>
        <w:t xml:space="preserve">, for incorporating a structured summer internship into the curriculum. The opportunity to test classroom theory against the practical realities of an enterprise has been the single most valuable part of my postgraduate study.</w:t>
      </w:r>
    </w:p>
    <w:p>
      <w:pPr>
        <w:spacing w:before="0" w:after="130" w:line="264" w:lineRule="auto"/>
        <w:jc w:val="both"/>
      </w:pPr>
      <w:r>
        <w:rPr>
          <w:rFonts w:ascii="Times New Roman" w:hAnsi="Times New Roman" w:cs="Times New Roman"/>
          <w:color w:val="1A1A1A"/>
          <w:sz w:val="21"/>
          <w:szCs w:val="21"/>
        </w:rPr>
        <w:t xml:space="preserve">I am deeply indebted to my </w:t>
      </w:r>
      <w:r>
        <w:rPr>
          <w:rFonts w:ascii="Times New Roman" w:hAnsi="Times New Roman" w:cs="Times New Roman"/>
          <w:b/>
          <w:color w:val="1A1A1A"/>
          <w:sz w:val="21"/>
          <w:szCs w:val="21"/>
        </w:rPr>
        <w:t xml:space="preserve">faculty guide</w:t>
      </w:r>
      <w:r>
        <w:rPr>
          <w:rFonts w:ascii="Times New Roman" w:hAnsi="Times New Roman" w:cs="Times New Roman"/>
          <w:color w:val="1A1A1A"/>
          <w:sz w:val="21"/>
          <w:szCs w:val="21"/>
        </w:rPr>
        <w:t xml:space="preserve"> for patiently reviewing my drafts, for insisting on analytical rigour rather than description, and for repeatedly directing my attention from what the numbers were to what the numbers meant.</w:t>
      </w:r>
    </w:p>
    <w:p>
      <w:pPr>
        <w:spacing w:before="0" w:after="130" w:line="264" w:lineRule="auto"/>
        <w:jc w:val="both"/>
      </w:pPr>
      <w:r>
        <w:rPr>
          <w:rFonts w:ascii="Times New Roman" w:hAnsi="Times New Roman" w:cs="Times New Roman"/>
          <w:color w:val="1A1A1A"/>
          <w:sz w:val="21"/>
          <w:szCs w:val="21"/>
        </w:rPr>
        <w:t xml:space="preserve">I owe a special debt to </w:t>
      </w:r>
      <w:r>
        <w:rPr>
          <w:rFonts w:ascii="Times New Roman" w:hAnsi="Times New Roman" w:cs="Times New Roman"/>
          <w:b/>
          <w:color w:val="1A1A1A"/>
          <w:sz w:val="21"/>
          <w:szCs w:val="21"/>
        </w:rPr>
        <w:t xml:space="preserve">Infinity Interns</w:t>
      </w:r>
      <w:r>
        <w:rPr>
          <w:rFonts w:ascii="Times New Roman" w:hAnsi="Times New Roman" w:cs="Times New Roman"/>
          <w:color w:val="1A1A1A"/>
          <w:sz w:val="21"/>
          <w:szCs w:val="21"/>
        </w:rPr>
        <w:t xml:space="preserve">, a unit of Infinitya1 Career Counselling Private Limited, for accepting me as an intern and for the openness with which the finance function was explained to me. I thank the </w:t>
      </w:r>
      <w:r>
        <w:rPr>
          <w:rFonts w:ascii="Times New Roman" w:hAnsi="Times New Roman" w:cs="Times New Roman"/>
          <w:b/>
          <w:color w:val="1A1A1A"/>
          <w:sz w:val="21"/>
          <w:szCs w:val="21"/>
        </w:rPr>
        <w:t xml:space="preserve">management and the Authorised Signatory</w:t>
      </w:r>
      <w:r>
        <w:rPr>
          <w:rFonts w:ascii="Times New Roman" w:hAnsi="Times New Roman" w:cs="Times New Roman"/>
          <w:color w:val="1A1A1A"/>
          <w:sz w:val="21"/>
          <w:szCs w:val="21"/>
        </w:rPr>
        <w:t xml:space="preserve"> for permitting access to the organisation's records, and my </w:t>
      </w:r>
      <w:r>
        <w:rPr>
          <w:rFonts w:ascii="Times New Roman" w:hAnsi="Times New Roman" w:cs="Times New Roman"/>
          <w:b/>
          <w:color w:val="1A1A1A"/>
          <w:sz w:val="21"/>
          <w:szCs w:val="21"/>
        </w:rPr>
        <w:t xml:space="preserve">company mentor</w:t>
      </w:r>
      <w:r>
        <w:rPr>
          <w:rFonts w:ascii="Times New Roman" w:hAnsi="Times New Roman" w:cs="Times New Roman"/>
          <w:color w:val="1A1A1A"/>
          <w:sz w:val="21"/>
          <w:szCs w:val="21"/>
        </w:rPr>
        <w:t xml:space="preserve"> for the weekly review meetings that shaped the direction of this study. The team at the B-Hub facility in Maurya Lok made an outsider feel like a colleague from the first day.</w:t>
      </w:r>
    </w:p>
    <w:p>
      <w:pPr>
        <w:spacing w:before="0" w:after="130" w:line="264" w:lineRule="auto"/>
        <w:jc w:val="both"/>
      </w:pPr>
      <w:r>
        <w:rPr>
          <w:rFonts w:ascii="Times New Roman" w:hAnsi="Times New Roman" w:cs="Times New Roman"/>
          <w:color w:val="1A1A1A"/>
          <w:sz w:val="21"/>
          <w:szCs w:val="21"/>
        </w:rPr>
        <w:t xml:space="preserve">I am grateful to the colleagues in the accounts, admissions and programme delivery teams who spared time from demanding schedules to answer my questions on vouchers, collections, mentor payouts and cohort costing. Whatever practical understanding this report reflects has been built on their explanations.</w:t>
      </w:r>
    </w:p>
    <w:p>
      <w:pPr>
        <w:spacing w:before="0" w:after="130" w:line="264" w:lineRule="auto"/>
        <w:jc w:val="both"/>
      </w:pPr>
      <w:r>
        <w:rPr>
          <w:rFonts w:ascii="Times New Roman" w:hAnsi="Times New Roman" w:cs="Times New Roman"/>
          <w:color w:val="1A1A1A"/>
          <w:sz w:val="21"/>
          <w:szCs w:val="21"/>
        </w:rPr>
        <w:t xml:space="preserve">Finally, and most importantly, I thank my father, </w:t>
      </w:r>
      <w:r>
        <w:rPr>
          <w:rFonts w:ascii="Times New Roman" w:hAnsi="Times New Roman" w:cs="Times New Roman"/>
          <w:b/>
          <w:color w:val="1A1A1A"/>
          <w:sz w:val="21"/>
          <w:szCs w:val="21"/>
        </w:rPr>
        <w:t xml:space="preserve">Shri Krishna Prasad Singh</w:t>
      </w:r>
      <w:r>
        <w:rPr>
          <w:rFonts w:ascii="Times New Roman" w:hAnsi="Times New Roman" w:cs="Times New Roman"/>
          <w:color w:val="1A1A1A"/>
          <w:sz w:val="21"/>
          <w:szCs w:val="21"/>
        </w:rPr>
        <w:t xml:space="preserve">, and my family, for the sacrifices they have made for my education and for their unwavering confidence in me. Any merit in this work belongs in large measure to them; the shortcomings are entirely my own.</w:t>
      </w:r>
    </w:p>
    <w:p>
      <w:pPr>
        <w:spacing w:before="0" w:after="0"/>
      </w:pPr>
      <w:r>
        <w:rPr>
          <w:sz w:val="28"/>
        </w:rPr>
        <w:t/>
      </w:r>
    </w:p>
    <w:p>
      <w:pPr>
        <w:spacing w:before="0" w:after="0"/>
      </w:pPr>
      <w:r>
        <w:rPr>
          <w:sz w:val="32"/>
        </w:rPr>
        <w:t/>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00" w:type="dxa"/>
          <w:right w:w="200" w:type="dxa"/>
        </w:tblCellMar>
      </w:tblPr>
      <w:tblGrid>
        <w:gridCol w:w="4809"/>
        <w:gridCol w:w="4809"/>
      </w:tblGrid>
      <w:tr>
        <w:tc>
          <w:tcPr>
            <w:tcW w:w="4809" w:type="dxa"/>
          </w:tcPr>
          <w:p>
            <w:pPr>
              <w:pBdr>
                <w:bottom w:val="single" w:sz="6" w:space="2" w:color="444A55"/>
              </w:pBdr>
              <w:spacing w:before="0" w:after="0"/>
            </w:pPr>
          </w:p>
          <w:p>
            <w:pPr>
              <w:spacing w:before="0" w:after="40"/>
              <w:jc w:val="center"/>
            </w:pPr>
            <w:r>
              <w:rPr>
                <w:rFonts w:ascii="Times New Roman" w:hAnsi="Times New Roman" w:cs="Times New Roman"/>
                <w:color w:val="444A55"/>
                <w:sz w:val="17"/>
                <w:szCs w:val="17"/>
              </w:rPr>
              <w:t xml:space="preserve">Ganga Kumari Singh</w:t>
            </w:r>
          </w:p>
        </w:tc>
        <w:tc>
          <w:tcPr>
            <w:tcW w:w="4809" w:type="dxa"/>
          </w:tcPr>
          <w:p>
            <w:pPr>
              <w:pBdr>
                <w:bottom w:val="single" w:sz="6" w:space="2" w:color="444A55"/>
              </w:pBdr>
              <w:spacing w:before="0" w:after="0"/>
            </w:pPr>
          </w:p>
          <w:p>
            <w:pPr>
              <w:spacing w:before="0" w:after="40"/>
              <w:jc w:val="center"/>
            </w:pPr>
            <w:r>
              <w:rPr>
                <w:rFonts w:ascii="Times New Roman" w:hAnsi="Times New Roman" w:cs="Times New Roman"/>
                <w:color w:val="444A55"/>
                <w:sz w:val="17"/>
                <w:szCs w:val="17"/>
              </w:rPr>
              <w:t xml:space="preserve">Roll No. 24269010026</w:t>
            </w:r>
          </w:p>
        </w:tc>
      </w:tr>
    </w:tbl>
    <w:p>
      <w:pPr>
        <w:spacing w:before="0" w:after="0"/>
      </w:pPr>
      <w:r>
        <w:rPr>
          <w:sz w:val="20"/>
        </w:rPr>
        <w:t/>
      </w:r>
    </w:p>
    <w:p>
      <w:r>
        <w:br w:type="page"/>
      </w:r>
    </w:p>
    <w:p>
      <w:pPr>
        <w:pBdr>
          <w:bottom w:val="single" w:sz="14" w:space="2" w:color="E87A1E"/>
        </w:pBdr>
        <w:spacing w:before="200" w:after="60"/>
        <w:jc w:val="center"/>
      </w:pPr>
      <w:r>
        <w:rPr>
          <w:rFonts w:ascii="Arial" w:hAnsi="Arial" w:cs="Arial"/>
          <w:b/>
          <w:color w:val="122F5C"/>
          <w:spacing w:val="70"/>
          <w:sz w:val="33"/>
          <w:szCs w:val="33"/>
        </w:rPr>
        <w:t xml:space="preserve">PREFACE</w:t>
      </w:r>
    </w:p>
    <w:p>
      <w:pPr>
        <w:spacing w:before="100" w:after="200"/>
        <w:jc w:val="center"/>
      </w:pPr>
      <w:r>
        <w:rPr>
          <w:rFonts w:ascii="Times New Roman" w:hAnsi="Times New Roman" w:cs="Times New Roman"/>
          <w:i/>
          <w:color w:val="444A55"/>
          <w:sz w:val="20"/>
          <w:szCs w:val="20"/>
        </w:rPr>
        <w:t xml:space="preserve">Scope and Purpose of this Report</w:t>
      </w:r>
    </w:p>
    <w:p>
      <w:pPr>
        <w:spacing w:before="0" w:after="0"/>
      </w:pPr>
      <w:r>
        <w:rPr>
          <w:sz w:val="13"/>
        </w:rPr>
        <w:t/>
      </w:r>
    </w:p>
    <w:p>
      <w:pPr>
        <w:spacing w:before="0" w:after="130" w:line="264" w:lineRule="auto"/>
        <w:jc w:val="both"/>
      </w:pPr>
      <w:r>
        <w:rPr>
          <w:rFonts w:ascii="Times New Roman" w:hAnsi="Times New Roman" w:cs="Times New Roman"/>
          <w:color w:val="1A1A1A"/>
          <w:sz w:val="21"/>
          <w:szCs w:val="21"/>
        </w:rPr>
        <w:t xml:space="preserve">Management education is, in the end, a preparation for judgement under uncertainty. A textbook can supply the ratio; only an enterprise can supply the context in which that ratio either matters or does not. The summer internship is the bridge between the two, and this report is an account of crossing it.</w:t>
      </w:r>
    </w:p>
    <w:p>
      <w:pPr>
        <w:spacing w:before="0" w:after="130" w:line="264" w:lineRule="auto"/>
        <w:jc w:val="both"/>
      </w:pPr>
      <w:r>
        <w:rPr>
          <w:rFonts w:ascii="Times New Roman" w:hAnsi="Times New Roman" w:cs="Times New Roman"/>
          <w:color w:val="1A1A1A"/>
          <w:sz w:val="21"/>
          <w:szCs w:val="21"/>
        </w:rPr>
        <w:t xml:space="preserve">The internship was undertaken at Infinity Interns, the internship and career-services unit of Infinitya1 Career Counselling Private Limited, at the B-Hub incubation facility in Maurya Lok Complex, Patna, over six weeks and five days from 6th June 2026 to 21st July 2026. The organisation was a particularly instructive choice for a student of Financial Management: it is young enough that the financial consequences of every managerial decision are still visible on the face of the accounts, and organised enough that those accounts are properly maintained.</w:t>
      </w:r>
    </w:p>
    <w:p>
      <w:pPr>
        <w:spacing w:before="0" w:after="130" w:line="264" w:lineRule="auto"/>
        <w:jc w:val="both"/>
      </w:pPr>
      <w:r>
        <w:rPr>
          <w:rFonts w:ascii="Times New Roman" w:hAnsi="Times New Roman" w:cs="Times New Roman"/>
          <w:color w:val="1A1A1A"/>
          <w:sz w:val="21"/>
          <w:szCs w:val="21"/>
        </w:rPr>
        <w:t xml:space="preserve">The report is arranged in ten chapters. The first two establish the setting — the objectives and methodology of the study, and the profile of the organisation. The third records the work actually performed, week by week. Chapters four, five and six form the analytical core: an examination of the company's financial management practices, of its budgeting and cost control system, and a three-year ratio and financial statement analysis. The remaining chapters set out what was learnt, the difficulties encountered, the findings and suggestions that emerged, and the conclusions drawn. A bibliography and a set of annexures follow.</w:t>
      </w:r>
    </w:p>
    <w:p>
      <w:pPr>
        <w:spacing w:before="0" w:after="130" w:line="264" w:lineRule="auto"/>
        <w:jc w:val="both"/>
      </w:pPr>
      <w:r>
        <w:rPr>
          <w:rFonts w:ascii="Times New Roman" w:hAnsi="Times New Roman" w:cs="Times New Roman"/>
          <w:color w:val="1A1A1A"/>
          <w:sz w:val="21"/>
          <w:szCs w:val="21"/>
        </w:rPr>
        <w:t xml:space="preserve">Two limitations should be stated at the outset and are repeated in Chapter One. First, the figures used are indicative management figures released for academic purposes and are not audited statutory accounts; the analysis should therefore be read as an exercise in method rather than as an audit opinion. Second, the period of observation was a single summer, and a single summer in a seasonal business can mislead the unwary. Both constraints have been borne in mind in drawing conclusions.</w:t>
      </w:r>
    </w:p>
    <w:p>
      <w:pPr>
        <w:spacing w:before="0" w:after="130" w:line="264" w:lineRule="auto"/>
        <w:jc w:val="both"/>
      </w:pPr>
      <w:r>
        <w:rPr>
          <w:rFonts w:ascii="Times New Roman" w:hAnsi="Times New Roman" w:cs="Times New Roman"/>
          <w:color w:val="1A1A1A"/>
          <w:sz w:val="21"/>
          <w:szCs w:val="21"/>
        </w:rPr>
        <w:t xml:space="preserve">If the report succeeds, it will be less because it computes ratios correctly than because it explains why an organisation with a negative cash conversion cycle, a comfortable interest cover and a falling debt-equity ratio should nevertheless worry about its receivables and its third quarter.</w:t>
      </w:r>
    </w:p>
    <w:p>
      <w:pPr>
        <w:spacing w:before="0" w:after="0"/>
      </w:pPr>
      <w:r>
        <w:rPr>
          <w:sz w:val="24"/>
        </w:rPr>
        <w:t/>
      </w:r>
    </w:p>
    <w:p>
      <w:pPr>
        <w:spacing w:before="0" w:after="0"/>
      </w:pPr>
      <w:r>
        <w:rPr>
          <w:sz w:val="32"/>
        </w:rPr>
        <w:t/>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00" w:type="dxa"/>
          <w:right w:w="200" w:type="dxa"/>
        </w:tblCellMar>
      </w:tblPr>
      <w:tblGrid>
        <w:gridCol w:w="4809"/>
        <w:gridCol w:w="4809"/>
      </w:tblGrid>
      <w:tr>
        <w:tc>
          <w:tcPr>
            <w:tcW w:w="4809" w:type="dxa"/>
          </w:tcPr>
          <w:p>
            <w:pPr>
              <w:pBdr>
                <w:bottom w:val="single" w:sz="6" w:space="2" w:color="444A55"/>
              </w:pBdr>
              <w:spacing w:before="0" w:after="0"/>
            </w:pPr>
          </w:p>
          <w:p>
            <w:pPr>
              <w:spacing w:before="0" w:after="40"/>
              <w:jc w:val="center"/>
            </w:pPr>
            <w:r>
              <w:rPr>
                <w:rFonts w:ascii="Times New Roman" w:hAnsi="Times New Roman" w:cs="Times New Roman"/>
                <w:color w:val="444A55"/>
                <w:sz w:val="17"/>
                <w:szCs w:val="17"/>
              </w:rPr>
              <w:t xml:space="preserve">Ganga Kumari Singh</w:t>
            </w:r>
          </w:p>
        </w:tc>
        <w:tc>
          <w:tcPr>
            <w:tcW w:w="4809" w:type="dxa"/>
          </w:tcPr>
          <w:p>
            <w:pPr>
              <w:pBdr>
                <w:bottom w:val="single" w:sz="6" w:space="2" w:color="444A55"/>
              </w:pBdr>
              <w:spacing w:before="0" w:after="0"/>
            </w:pPr>
          </w:p>
          <w:p>
            <w:pPr>
              <w:spacing w:before="0" w:after="40"/>
              <w:jc w:val="center"/>
            </w:pPr>
            <w:r>
              <w:rPr>
                <w:rFonts w:ascii="Times New Roman" w:hAnsi="Times New Roman" w:cs="Times New Roman"/>
                <w:color w:val="444A55"/>
                <w:sz w:val="17"/>
                <w:szCs w:val="17"/>
              </w:rPr>
              <w:t xml:space="preserve">M.B.A. – Financial Management</w:t>
            </w:r>
          </w:p>
        </w:tc>
      </w:tr>
    </w:tbl>
    <w:p>
      <w:pPr>
        <w:spacing w:before="0" w:after="0"/>
      </w:pPr>
      <w:r>
        <w:rPr>
          <w:sz w:val="20"/>
        </w:rPr>
        <w:t/>
      </w:r>
    </w:p>
    <w:p>
      <w:r>
        <w:br w:type="page"/>
      </w:r>
    </w:p>
    <w:p>
      <w:pPr>
        <w:pBdr>
          <w:bottom w:val="single" w:sz="14" w:space="2" w:color="E87A1E"/>
        </w:pBdr>
        <w:spacing w:before="200" w:after="60"/>
        <w:jc w:val="center"/>
      </w:pPr>
      <w:r>
        <w:rPr>
          <w:rFonts w:ascii="Arial" w:hAnsi="Arial" w:cs="Arial"/>
          <w:b/>
          <w:color w:val="122F5C"/>
          <w:spacing w:val="70"/>
          <w:sz w:val="33"/>
          <w:szCs w:val="33"/>
        </w:rPr>
        <w:t xml:space="preserve">TABLE OF CONTENTS</w:t>
      </w:r>
    </w:p>
    <w:p>
      <w:pPr>
        <w:spacing w:before="0" w:after="0"/>
      </w:pPr>
      <w:r>
        <w:rPr>
          <w:sz w:val="16"/>
        </w:rPr>
        <w:t/>
      </w:r>
    </w:p>
    <w:p>
      <w:pPr>
        <w:spacing w:after="120"/>
      </w:pPr>
      <w:r>
        <w:fldChar w:fldCharType="begin" w:dirty="true"/>
      </w:r>
      <w:r>
        <w:instrText xml:space="preserve"> TOC \o "1-2" \h \z \u </w:instrText>
      </w:r>
      <w:r>
        <w:fldChar w:fldCharType="separate"/>
      </w:r>
      <w:p>
        <w:pPr>
          <w:tabs>
            <w:tab w:val="right" w:leader="dot" w:pos="9618"/>
          </w:tabs>
          <w:spacing w:before="80" w:after="60"/>
        </w:pPr>
        <w:r>
          <w:rPr>
            <w:rFonts w:ascii="Arial" w:hAnsi="Arial" w:cs="Arial"/>
            <w:b/>
            <w:color w:val="122F5C"/>
            <w:sz w:val="20"/>
            <w:szCs w:val="20"/>
          </w:rPr>
          <w:t xml:space="preserve">CERTIFICATE OF COMPLETION</w:t>
        </w:r>
        <w:r>
          <w:tab/>
        </w:r>
        <w:r>
          <w:rPr>
            <w:rFonts w:ascii="Times New Roman" w:hAnsi="Times New Roman" w:cs="Times New Roman"/>
            <w:color w:val="C8CED6"/>
            <w:sz w:val="18"/>
            <w:szCs w:val="18"/>
          </w:rPr>
          <w:t xml:space="preserve">–</w:t>
        </w:r>
      </w:p>
      <w:p>
        <w:pPr>
          <w:tabs>
            <w:tab w:val="right" w:leader="dot" w:pos="9618"/>
          </w:tabs>
          <w:spacing w:before="80" w:after="60"/>
        </w:pPr>
        <w:r>
          <w:rPr>
            <w:rFonts w:ascii="Arial" w:hAnsi="Arial" w:cs="Arial"/>
            <w:b/>
            <w:color w:val="122F5C"/>
            <w:sz w:val="20"/>
            <w:szCs w:val="20"/>
          </w:rPr>
          <w:t xml:space="preserve">CERTIFICATE OF THE GUIDE</w:t>
        </w:r>
        <w:r>
          <w:tab/>
        </w:r>
        <w:r>
          <w:rPr>
            <w:rFonts w:ascii="Times New Roman" w:hAnsi="Times New Roman" w:cs="Times New Roman"/>
            <w:color w:val="C8CED6"/>
            <w:sz w:val="18"/>
            <w:szCs w:val="18"/>
          </w:rPr>
          <w:t xml:space="preserve">–</w:t>
        </w:r>
      </w:p>
      <w:p>
        <w:pPr>
          <w:tabs>
            <w:tab w:val="right" w:leader="dot" w:pos="9618"/>
          </w:tabs>
          <w:spacing w:before="80" w:after="60"/>
        </w:pPr>
        <w:r>
          <w:rPr>
            <w:rFonts w:ascii="Arial" w:hAnsi="Arial" w:cs="Arial"/>
            <w:b/>
            <w:color w:val="122F5C"/>
            <w:sz w:val="20"/>
            <w:szCs w:val="20"/>
          </w:rPr>
          <w:t xml:space="preserve">DECLARATION</w:t>
        </w:r>
        <w:r>
          <w:tab/>
        </w:r>
        <w:r>
          <w:rPr>
            <w:rFonts w:ascii="Times New Roman" w:hAnsi="Times New Roman" w:cs="Times New Roman"/>
            <w:color w:val="C8CED6"/>
            <w:sz w:val="18"/>
            <w:szCs w:val="18"/>
          </w:rPr>
          <w:t xml:space="preserve">–</w:t>
        </w:r>
      </w:p>
      <w:p>
        <w:pPr>
          <w:tabs>
            <w:tab w:val="right" w:leader="dot" w:pos="9618"/>
          </w:tabs>
          <w:spacing w:before="80" w:after="60"/>
        </w:pPr>
        <w:r>
          <w:rPr>
            <w:rFonts w:ascii="Arial" w:hAnsi="Arial" w:cs="Arial"/>
            <w:b/>
            <w:color w:val="122F5C"/>
            <w:sz w:val="20"/>
            <w:szCs w:val="20"/>
          </w:rPr>
          <w:t xml:space="preserve">ACKNOWLEDGEMENT</w:t>
        </w:r>
        <w:r>
          <w:tab/>
        </w:r>
        <w:r>
          <w:rPr>
            <w:rFonts w:ascii="Times New Roman" w:hAnsi="Times New Roman" w:cs="Times New Roman"/>
            <w:color w:val="C8CED6"/>
            <w:sz w:val="18"/>
            <w:szCs w:val="18"/>
          </w:rPr>
          <w:t xml:space="preserve">–</w:t>
        </w:r>
      </w:p>
      <w:p>
        <w:pPr>
          <w:tabs>
            <w:tab w:val="right" w:leader="dot" w:pos="9618"/>
          </w:tabs>
          <w:spacing w:before="80" w:after="60"/>
        </w:pPr>
        <w:r>
          <w:rPr>
            <w:rFonts w:ascii="Arial" w:hAnsi="Arial" w:cs="Arial"/>
            <w:b/>
            <w:color w:val="122F5C"/>
            <w:sz w:val="20"/>
            <w:szCs w:val="20"/>
          </w:rPr>
          <w:t xml:space="preserve">PREFACE</w:t>
        </w:r>
        <w:r>
          <w:tab/>
        </w:r>
        <w:r>
          <w:rPr>
            <w:rFonts w:ascii="Times New Roman" w:hAnsi="Times New Roman" w:cs="Times New Roman"/>
            <w:color w:val="C8CED6"/>
            <w:sz w:val="18"/>
            <w:szCs w:val="18"/>
          </w:rPr>
          <w:t xml:space="preserve">–</w:t>
        </w:r>
      </w:p>
      <w:p>
        <w:pPr>
          <w:tabs>
            <w:tab w:val="right" w:leader="dot" w:pos="9618"/>
          </w:tabs>
          <w:spacing w:before="80" w:after="60"/>
        </w:pPr>
        <w:r>
          <w:rPr>
            <w:rFonts w:ascii="Arial" w:hAnsi="Arial" w:cs="Arial"/>
            <w:b/>
            <w:color w:val="122F5C"/>
            <w:sz w:val="20"/>
            <w:szCs w:val="20"/>
          </w:rPr>
          <w:t xml:space="preserve">TABLE OF CONTENTS</w:t>
        </w:r>
        <w:r>
          <w:tab/>
        </w:r>
        <w:r>
          <w:rPr>
            <w:rFonts w:ascii="Times New Roman" w:hAnsi="Times New Roman" w:cs="Times New Roman"/>
            <w:color w:val="C8CED6"/>
            <w:sz w:val="18"/>
            <w:szCs w:val="18"/>
          </w:rPr>
          <w:t xml:space="preserve">–</w:t>
        </w:r>
      </w:p>
      <w:p>
        <w:pPr>
          <w:tabs>
            <w:tab w:val="right" w:leader="dot" w:pos="9618"/>
          </w:tabs>
          <w:spacing w:before="80" w:after="60"/>
        </w:pPr>
        <w:r>
          <w:rPr>
            <w:rFonts w:ascii="Arial" w:hAnsi="Arial" w:cs="Arial"/>
            <w:b/>
            <w:color w:val="122F5C"/>
            <w:sz w:val="20"/>
            <w:szCs w:val="20"/>
          </w:rPr>
          <w:t xml:space="preserve">LIST OF TABLES</w:t>
        </w:r>
        <w:r>
          <w:tab/>
        </w:r>
        <w:r>
          <w:rPr>
            <w:rFonts w:ascii="Times New Roman" w:hAnsi="Times New Roman" w:cs="Times New Roman"/>
            <w:color w:val="C8CED6"/>
            <w:sz w:val="18"/>
            <w:szCs w:val="18"/>
          </w:rPr>
          <w:t xml:space="preserve">–</w:t>
        </w:r>
      </w:p>
      <w:p>
        <w:pPr>
          <w:tabs>
            <w:tab w:val="right" w:leader="dot" w:pos="9618"/>
          </w:tabs>
          <w:spacing w:before="80" w:after="60"/>
        </w:pPr>
        <w:r>
          <w:rPr>
            <w:rFonts w:ascii="Arial" w:hAnsi="Arial" w:cs="Arial"/>
            <w:b/>
            <w:color w:val="122F5C"/>
            <w:sz w:val="20"/>
            <w:szCs w:val="20"/>
          </w:rPr>
          <w:t xml:space="preserve">EXECUTIVE SUMMARY</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The Organisation</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Headline Findings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Principal Suggestions</w:t>
        </w:r>
        <w:r>
          <w:tab/>
        </w:r>
        <w:r>
          <w:rPr>
            <w:rFonts w:ascii="Times New Roman" w:hAnsi="Times New Roman" w:cs="Times New Roman"/>
            <w:color w:val="C8CED6"/>
            <w:sz w:val="18"/>
            <w:szCs w:val="18"/>
          </w:rPr>
          <w:t xml:space="preserve">–</w:t>
        </w:r>
      </w:p>
      <w:p>
        <w:pPr>
          <w:tabs>
            <w:tab w:val="right" w:leader="dot" w:pos="9618"/>
          </w:tabs>
          <w:spacing w:before="80" w:after="60"/>
        </w:pPr>
        <w:r>
          <w:rPr>
            <w:rFonts w:ascii="Arial" w:hAnsi="Arial" w:cs="Arial"/>
            <w:b/>
            <w:color w:val="122F5C"/>
            <w:sz w:val="20"/>
            <w:szCs w:val="20"/>
          </w:rPr>
          <w:t xml:space="preserve">CHAPTER 1   INTRODUCTION</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1.1  Background of the Study</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1.2  Rationale for Selecting the Organisation</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1.3  Statement of the Problem</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1.4  Objectives of the Study</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1.5  Scope of the Study</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1.6  Research Methodology</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1.7  Significance of the Study</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1.8  Limitations of the Study</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1.9  Chapter Scheme</w:t>
        </w:r>
        <w:r>
          <w:tab/>
        </w:r>
        <w:r>
          <w:rPr>
            <w:rFonts w:ascii="Times New Roman" w:hAnsi="Times New Roman" w:cs="Times New Roman"/>
            <w:color w:val="C8CED6"/>
            <w:sz w:val="18"/>
            <w:szCs w:val="18"/>
          </w:rPr>
          <w:t xml:space="preserve">–</w:t>
        </w:r>
      </w:p>
      <w:p>
        <w:pPr>
          <w:tabs>
            <w:tab w:val="right" w:leader="dot" w:pos="9618"/>
          </w:tabs>
          <w:spacing w:before="80" w:after="60"/>
        </w:pPr>
        <w:r>
          <w:rPr>
            <w:rFonts w:ascii="Arial" w:hAnsi="Arial" w:cs="Arial"/>
            <w:b/>
            <w:color w:val="122F5C"/>
            <w:sz w:val="20"/>
            <w:szCs w:val="20"/>
          </w:rPr>
          <w:t xml:space="preserve">CHAPTER 2   COMPANY PROFILE</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2.1  Identity and Constitution</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2.2  The B-Hub Setting</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2.3  Vision, Mission and Values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2.4  Service Lines and Revenue Model</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2.5  Organisation Structure</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2.6  The Finance and Accounts Function</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2.7  Growth Record</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2.8  Competitive Position</w:t>
        </w:r>
        <w:r>
          <w:tab/>
        </w:r>
        <w:r>
          <w:rPr>
            <w:rFonts w:ascii="Times New Roman" w:hAnsi="Times New Roman" w:cs="Times New Roman"/>
            <w:color w:val="C8CED6"/>
            <w:sz w:val="18"/>
            <w:szCs w:val="18"/>
          </w:rPr>
          <w:t xml:space="preserve">–</w:t>
        </w:r>
      </w:p>
      <w:p>
        <w:pPr>
          <w:tabs>
            <w:tab w:val="right" w:leader="dot" w:pos="9618"/>
          </w:tabs>
          <w:spacing w:before="80" w:after="60"/>
        </w:pPr>
        <w:r>
          <w:rPr>
            <w:rFonts w:ascii="Arial" w:hAnsi="Arial" w:cs="Arial"/>
            <w:b/>
            <w:color w:val="122F5C"/>
            <w:sz w:val="20"/>
            <w:szCs w:val="20"/>
          </w:rPr>
          <w:t xml:space="preserve">CHAPTER 3   INTERNSHIP TASKS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3.1  Terms of the Internship</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3.2  Overview of the Work Programme</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3.3  Week One — Induction and Organisation Study</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3.4  Week Two — Books of Account and Voucher Verification</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3.5  Week Three — Working Capital and Receivables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3.6  Week Four — Budgeting and Variance Analysis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3.7  Week Five — Ratio Analysis and Interpretation</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3.8  Week Six — Cost Control and CVP Analysis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3.9  Week Seven — Compilation and Presentation</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3.10  Skills Applied and Acquired</w:t>
        </w:r>
        <w:r>
          <w:tab/>
        </w:r>
        <w:r>
          <w:rPr>
            <w:rFonts w:ascii="Times New Roman" w:hAnsi="Times New Roman" w:cs="Times New Roman"/>
            <w:color w:val="C8CED6"/>
            <w:sz w:val="18"/>
            <w:szCs w:val="18"/>
          </w:rPr>
          <w:t xml:space="preserve">–</w:t>
        </w:r>
      </w:p>
      <w:p>
        <w:pPr>
          <w:tabs>
            <w:tab w:val="right" w:leader="dot" w:pos="9618"/>
          </w:tabs>
          <w:spacing w:before="80" w:after="60"/>
        </w:pPr>
        <w:r>
          <w:rPr>
            <w:rFonts w:ascii="Arial" w:hAnsi="Arial" w:cs="Arial"/>
            <w:b/>
            <w:color w:val="122F5C"/>
            <w:sz w:val="20"/>
            <w:szCs w:val="20"/>
          </w:rPr>
          <w:t xml:space="preserve">CHAPTER 4   FINANCIAL MANAGEMENT ANALYSIS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4.1  The Statement of Profit and Loss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4.2  Analysis of Revenue</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4.3  Analysis of Cost Structure</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4.4  Profitability</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4.5  Working Capital Management</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4.6  Cash Flow Analysis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4.7  The Balance Sheet and the Pattern of Financing</w:t>
        </w:r>
        <w:r>
          <w:tab/>
        </w:r>
        <w:r>
          <w:rPr>
            <w:rFonts w:ascii="Times New Roman" w:hAnsi="Times New Roman" w:cs="Times New Roman"/>
            <w:color w:val="C8CED6"/>
            <w:sz w:val="18"/>
            <w:szCs w:val="18"/>
          </w:rPr>
          <w:t xml:space="preserve">–</w:t>
        </w:r>
      </w:p>
      <w:p>
        <w:pPr>
          <w:tabs>
            <w:tab w:val="right" w:leader="dot" w:pos="9618"/>
          </w:tabs>
          <w:spacing w:before="80" w:after="60"/>
        </w:pPr>
        <w:r>
          <w:rPr>
            <w:rFonts w:ascii="Arial" w:hAnsi="Arial" w:cs="Arial"/>
            <w:b/>
            <w:color w:val="122F5C"/>
            <w:sz w:val="20"/>
            <w:szCs w:val="20"/>
          </w:rPr>
          <w:t xml:space="preserve">CHAPTER 5   BUDGETING AND COST CONTROL</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5.1  The Budgeting Process in Operation</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5.2  Types of Budget Maintained</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5.3  Budget against Actual: Variance Analysis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5.4  Cost Classification and Behaviour</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5.5  Cost-Volume-Profit Analysis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5.6  Cost Control Measures in Place</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5.7  Operating and Financial Leverage</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5.8  Appraisal of the Budgetary Control System</w:t>
        </w:r>
        <w:r>
          <w:tab/>
        </w:r>
        <w:r>
          <w:rPr>
            <w:rFonts w:ascii="Times New Roman" w:hAnsi="Times New Roman" w:cs="Times New Roman"/>
            <w:color w:val="C8CED6"/>
            <w:sz w:val="18"/>
            <w:szCs w:val="18"/>
          </w:rPr>
          <w:t xml:space="preserve">–</w:t>
        </w:r>
      </w:p>
      <w:p>
        <w:pPr>
          <w:tabs>
            <w:tab w:val="right" w:leader="dot" w:pos="9618"/>
          </w:tabs>
          <w:spacing w:before="80" w:after="60"/>
        </w:pPr>
        <w:r>
          <w:rPr>
            <w:rFonts w:ascii="Arial" w:hAnsi="Arial" w:cs="Arial"/>
            <w:b/>
            <w:color w:val="122F5C"/>
            <w:sz w:val="20"/>
            <w:szCs w:val="20"/>
          </w:rPr>
          <w:t xml:space="preserve">CHAPTER 6   RATIO AND FINANCIAL ANALYSIS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6.1  Framework and Basis of Computation</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6.2  Liquidity Ratios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6.3  Profitability Ratios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6.4  Solvency Ratios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6.5  Activity and Efficiency Ratios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6.6  The Working Capital Cycle</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6.7  Common-Size Balance Sheet</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6.8  DuPont Decomposition of Return on Equity</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6.9  Summary of the Ratio Analysis</w:t>
        </w:r>
        <w:r>
          <w:tab/>
        </w:r>
        <w:r>
          <w:rPr>
            <w:rFonts w:ascii="Times New Roman" w:hAnsi="Times New Roman" w:cs="Times New Roman"/>
            <w:color w:val="C8CED6"/>
            <w:sz w:val="18"/>
            <w:szCs w:val="18"/>
          </w:rPr>
          <w:t xml:space="preserve">–</w:t>
        </w:r>
      </w:p>
      <w:p>
        <w:pPr>
          <w:tabs>
            <w:tab w:val="right" w:leader="dot" w:pos="9618"/>
          </w:tabs>
          <w:spacing w:before="80" w:after="60"/>
        </w:pPr>
        <w:r>
          <w:rPr>
            <w:rFonts w:ascii="Arial" w:hAnsi="Arial" w:cs="Arial"/>
            <w:b/>
            <w:color w:val="122F5C"/>
            <w:sz w:val="20"/>
            <w:szCs w:val="20"/>
          </w:rPr>
          <w:t xml:space="preserve">CHAPTER 7   LEARNING OUTCOMES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7.1  Achievement against the Stated Objectives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7.2  Technical Learning</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7.3  Analytical Learning</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7.4  Behavioural and Interpersonal Learning</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7.5  Professional and Personal Learning</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7.6  Bridging Theory and Practice</w:t>
        </w:r>
        <w:r>
          <w:tab/>
        </w:r>
        <w:r>
          <w:rPr>
            <w:rFonts w:ascii="Times New Roman" w:hAnsi="Times New Roman" w:cs="Times New Roman"/>
            <w:color w:val="C8CED6"/>
            <w:sz w:val="18"/>
            <w:szCs w:val="18"/>
          </w:rPr>
          <w:t xml:space="preserve">–</w:t>
        </w:r>
      </w:p>
      <w:p>
        <w:pPr>
          <w:tabs>
            <w:tab w:val="right" w:leader="dot" w:pos="9618"/>
          </w:tabs>
          <w:spacing w:before="80" w:after="60"/>
        </w:pPr>
        <w:r>
          <w:rPr>
            <w:rFonts w:ascii="Arial" w:hAnsi="Arial" w:cs="Arial"/>
            <w:b/>
            <w:color w:val="122F5C"/>
            <w:sz w:val="20"/>
            <w:szCs w:val="20"/>
          </w:rPr>
          <w:t xml:space="preserve">CHAPTER 8   CHALLENGES FACED</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8.1  Data Availability and Format</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8.2  Absence of Industry Benchmarks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8.3  Judgement in Cost Classification</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8.4  Reconciling Conflicting Records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8.5  Working within Confidentiality Constraints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8.6  Time Pressure and Competing Priorities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8.7  Transition from Academic to Professional Standards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8.8  Summary</w:t>
        </w:r>
        <w:r>
          <w:tab/>
        </w:r>
        <w:r>
          <w:rPr>
            <w:rFonts w:ascii="Times New Roman" w:hAnsi="Times New Roman" w:cs="Times New Roman"/>
            <w:color w:val="C8CED6"/>
            <w:sz w:val="18"/>
            <w:szCs w:val="18"/>
          </w:rPr>
          <w:t xml:space="preserve">–</w:t>
        </w:r>
      </w:p>
      <w:p>
        <w:pPr>
          <w:tabs>
            <w:tab w:val="right" w:leader="dot" w:pos="9618"/>
          </w:tabs>
          <w:spacing w:before="80" w:after="60"/>
        </w:pPr>
        <w:r>
          <w:rPr>
            <w:rFonts w:ascii="Arial" w:hAnsi="Arial" w:cs="Arial"/>
            <w:b/>
            <w:color w:val="122F5C"/>
            <w:sz w:val="20"/>
            <w:szCs w:val="20"/>
          </w:rPr>
          <w:t xml:space="preserve">CHAPTER 9   FINDINGS AND SUGGESTIONS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9.1  Findings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9.2  Suggestions</w:t>
        </w:r>
        <w:r>
          <w:tab/>
        </w:r>
        <w:r>
          <w:rPr>
            <w:rFonts w:ascii="Times New Roman" w:hAnsi="Times New Roman" w:cs="Times New Roman"/>
            <w:color w:val="C8CED6"/>
            <w:sz w:val="18"/>
            <w:szCs w:val="18"/>
          </w:rPr>
          <w:t xml:space="preserve">–</w:t>
        </w:r>
      </w:p>
      <w:p>
        <w:pPr>
          <w:tabs>
            <w:tab w:val="right" w:leader="dot" w:pos="9618"/>
          </w:tabs>
          <w:spacing w:before="80" w:after="60"/>
        </w:pPr>
        <w:r>
          <w:rPr>
            <w:rFonts w:ascii="Arial" w:hAnsi="Arial" w:cs="Arial"/>
            <w:b/>
            <w:color w:val="122F5C"/>
            <w:sz w:val="20"/>
            <w:szCs w:val="20"/>
          </w:rPr>
          <w:t xml:space="preserve">CHAPTER 10   CONCLUSION</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10.1  Overall Financial Appraisal</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10.2  Sustainability of the Present Performance</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10.3  Concluding Observations on the Internship</w:t>
        </w:r>
        <w:r>
          <w:tab/>
        </w:r>
        <w:r>
          <w:rPr>
            <w:rFonts w:ascii="Times New Roman" w:hAnsi="Times New Roman" w:cs="Times New Roman"/>
            <w:color w:val="C8CED6"/>
            <w:sz w:val="18"/>
            <w:szCs w:val="18"/>
          </w:rPr>
          <w:t xml:space="preserve">–</w:t>
        </w:r>
      </w:p>
      <w:p>
        <w:pPr>
          <w:tabs>
            <w:tab w:val="right" w:leader="dot" w:pos="9618"/>
          </w:tabs>
          <w:spacing w:before="80" w:after="60"/>
        </w:pPr>
        <w:r>
          <w:rPr>
            <w:rFonts w:ascii="Arial" w:hAnsi="Arial" w:cs="Arial"/>
            <w:b/>
            <w:color w:val="122F5C"/>
            <w:sz w:val="20"/>
            <w:szCs w:val="20"/>
          </w:rPr>
          <w:t xml:space="preserve">BIBLIOGRAPHY</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A.  Books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B.  Journals and Periodicals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C.  Statutory and Regulatory Material</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D.  Electronic and Institutional Sources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E.  Organisational Records</w:t>
        </w:r>
        <w:r>
          <w:tab/>
        </w:r>
        <w:r>
          <w:rPr>
            <w:rFonts w:ascii="Times New Roman" w:hAnsi="Times New Roman" w:cs="Times New Roman"/>
            <w:color w:val="C8CED6"/>
            <w:sz w:val="18"/>
            <w:szCs w:val="18"/>
          </w:rPr>
          <w:t xml:space="preserve">–</w:t>
        </w:r>
      </w:p>
      <w:p>
        <w:pPr>
          <w:tabs>
            <w:tab w:val="right" w:leader="dot" w:pos="9618"/>
          </w:tabs>
          <w:spacing w:before="80" w:after="60"/>
        </w:pPr>
        <w:r>
          <w:rPr>
            <w:rFonts w:ascii="Arial" w:hAnsi="Arial" w:cs="Arial"/>
            <w:b/>
            <w:color w:val="122F5C"/>
            <w:sz w:val="20"/>
            <w:szCs w:val="20"/>
          </w:rPr>
          <w:t xml:space="preserve">ANNEXURES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Annexure I — Abridged Statement of Profit and Loss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Annexure II — Abridged Balance Sheet</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Annexure III — Consolidated Ratio Schedule</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Annexure IV — Cash Flow Statement</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Annexure V — Cost-Volume-Profit Working</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Annexure VI — Questionnaire Used during the Internship</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Annexure VII — Weekly Diary of Work Performed</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Annexure VIII — Attendance and Certification Record</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Annexure IX — List of Exhibits Generated</w:t>
        </w:r>
        <w:r>
          <w:tab/>
        </w:r>
        <w:r>
          <w:rPr>
            <w:rFonts w:ascii="Times New Roman" w:hAnsi="Times New Roman" w:cs="Times New Roman"/>
            <w:color w:val="C8CED6"/>
            <w:sz w:val="18"/>
            <w:szCs w:val="18"/>
          </w:rPr>
          <w:t xml:space="preserve">–</w:t>
        </w:r>
      </w:p>
      <w:r>
        <w:fldChar w:fldCharType="end"/>
      </w:r>
    </w:p>
    <w:p>
      <w:pPr>
        <w:spacing w:before="160" w:after="60"/>
      </w:pPr>
      <w:r>
        <w:rPr>
          <w:rFonts w:ascii="Times New Roman" w:hAnsi="Times New Roman" w:cs="Times New Roman"/>
          <w:i/>
          <w:color w:val="8A919C"/>
          <w:sz w:val="16"/>
          <w:szCs w:val="16"/>
        </w:rPr>
        <w:t xml:space="preserve">Page numbers are inserted by Word: open the document, select the contents above, then press F9 (or right-click and choose Update Field) to populate them.</w:t>
      </w:r>
    </w:p>
    <w:p>
      <w:r>
        <w:br w:type="page"/>
      </w:r>
    </w:p>
    <w:p>
      <w:pPr>
        <w:pBdr>
          <w:bottom w:val="single" w:sz="14" w:space="2" w:color="E87A1E"/>
        </w:pBdr>
        <w:spacing w:before="200" w:after="60"/>
        <w:jc w:val="center"/>
      </w:pPr>
      <w:r>
        <w:rPr>
          <w:rFonts w:ascii="Arial" w:hAnsi="Arial" w:cs="Arial"/>
          <w:b/>
          <w:color w:val="122F5C"/>
          <w:spacing w:val="70"/>
          <w:sz w:val="33"/>
          <w:szCs w:val="33"/>
        </w:rPr>
        <w:t xml:space="preserve">LIST OF TABLES</w:t>
      </w:r>
    </w:p>
    <w:p>
      <w:pPr>
        <w:spacing w:before="0" w:after="0"/>
      </w:pPr>
      <w:r>
        <w:rPr>
          <w:sz w:val="16"/>
        </w:rPr>
        <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1.1   Sources of data used in the study</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1.2   Organisation of the report</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2.1   Organisational particulars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2.2   Service lines and their financial characteristics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2.3   Functions and their financial responsibilities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2.4   Three-year growth record</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2.5   SWOT appraisal with financial implications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3.1   Particulars of the internship</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3.2   Week-wise work programme</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3.3   Mapping of tasks to skills and to report chapters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4.1   Statement of Profit and Loss for three years (₹ in lakh)</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4.2   Quarterly revenue and share of the year, FY 2025-26</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4.3   Common-size Statement of Profit and Loss (percentage of revenue from operations)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4.4   Profitability summary (₹ in lakh and per cent)</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4.5   Composition of working capital (₹ in lakh)</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4.6   Receivables and the collection period</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4.7   Ageing of trade receivables as at the close of FY 2025-26</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4.8   Cash Flow Statement for FY 2025-26 (₹ in lakh)</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4.9   Balance Sheet as at the close of each year (₹ in lakh)</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5.1   Budgets prepared and their status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5.2   Budget against actual for FY 2025-26 (₹ in lakh)</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5.3   Classification of costs by behaviour</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5.4   Segregation of costs into variable and fixed for FY 2025-26 (₹ in lakh)</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5.5   Cost-volume-profit computation for FY 2025-26</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5.6   Cost control measures and their observed effect</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5.7   Leverage computation for FY 2025-26</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5.8   Appraisal of the budgetary control system</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6.1   Liquidity ratios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6.2   Profitability ratios (per cent)</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6.3   Solvency and capital structure ratios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6.4   Activity ratios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6.5   Working capital cycle</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6.6   Common-size Balance Sheet (percentage of balance sheet total)</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6.7   DuPont decomposition of return on equity</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6.8   Consolidated assessment of financial position</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7.1   Objectives and their achievement</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7.2   Classroom concept against observed practice</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8.1   Challenges, responses and lessons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9.1   Prioritised recommendations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A1.1   Statement of Profit and Loss for three years (₹ in lakh)</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A2.1   Balance Sheet as at the close of each year (₹ in lakh)</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A3.1   All ratios computed in this report</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A4.1   Cash Flow Statement for FY 2025-26 (₹ in lakh)</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A5.1   Fixed and variable cost segregation for FY 2025-26 (₹ in lakh)</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A7.1   Weekly record of work, deliverables and review</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Table A8.1   Summary of attendance</w:t>
      </w:r>
      <w:r>
        <w:tab/>
      </w:r>
      <w:r>
        <w:rPr>
          <w:rFonts w:ascii="Times New Roman" w:hAnsi="Times New Roman" w:cs="Times New Roman"/>
          <w:color w:val="C8CED6"/>
          <w:sz w:val="18"/>
          <w:szCs w:val="18"/>
        </w:rPr>
        <w:t xml:space="preserve">–</w:t>
      </w:r>
    </w:p>
    <w:p>
      <w:pPr>
        <w:spacing w:before="0" w:after="0"/>
      </w:pPr>
      <w:r>
        <w:rPr>
          <w:sz w:val="19"/>
        </w:rPr>
        <w:t/>
      </w:r>
    </w:p>
    <w:p>
      <w:pPr>
        <w:pBdr>
          <w:bottom w:val="single" w:sz="10" w:space="2" w:color="E87A1E"/>
        </w:pBdr>
        <w:spacing w:before="260" w:after="60"/>
        <w:jc w:val="center"/>
      </w:pPr>
      <w:r>
        <w:rPr>
          <w:rFonts w:ascii="Arial" w:hAnsi="Arial" w:cs="Arial"/>
          <w:b/>
          <w:color w:val="122F5C"/>
          <w:spacing w:val="50"/>
          <w:sz w:val="26"/>
          <w:szCs w:val="26"/>
        </w:rPr>
        <w:t xml:space="preserve">LIST OF FIGURES</w:t>
      </w:r>
    </w:p>
    <w:p>
      <w:pPr>
        <w:tabs>
          <w:tab w:val="right" w:leader="dot" w:pos="9618"/>
        </w:tabs>
        <w:spacing w:before="0" w:after="30"/>
        <w:ind w:left="280" w:right="0" w:firstLine="0"/>
      </w:pPr>
      <w:r>
        <w:rPr>
          <w:rFonts w:ascii="Times New Roman" w:hAnsi="Times New Roman" w:cs="Times New Roman"/>
          <w:color w:val="1A1A1A"/>
          <w:sz w:val="19"/>
          <w:szCs w:val="19"/>
        </w:rPr>
        <w:t xml:space="preserve">Figure 2.1   Composition of revenue by service line, FY 2025-26</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Figure 2.2   Revenue from operations and net profit margin over three years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Figure 4.1   Total income against total expenditure and profit before tax</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Figure 4.2   Quarterly pattern of revenue, FY 2025-26</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Figure 4.3   Structure of total expenditure, FY 2025-26</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Figure 4.4   Behaviour of major expense heads over three years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Figure 4.5   Profitability margins over three years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Figure 4.6   Debtor days, creditor days and the cash conversion cycle</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Figure 4.7   Cash flow bridge from opening to closing cash, FY 2025-26</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Figure 4.8   Pattern of long-term funding over three years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Figure 5.1   Budget against actual: percentage variance by head, FY 2025-26</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Figure 5.2   Budgeted and actual amounts by head, FY 2025-26</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Figure 5.3   Segregation of costs into variable and fixed, FY 2025-26</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Figure 5.4   Cost-volume-profit chart showing break-even sales and the margin of safety</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Figure 6.1   Financial scorecard at a glance, FY 2025-26</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Figure 6.2   Liquidity ratios over three years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Figure 6.3   Return on equity, capital employed and total assets</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Figure 6.4   Debt-equity ratio and interest coverage</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Figure 6.5   Activity ratios: asset utilisation</w:t>
      </w:r>
      <w:r>
        <w:tab/>
      </w:r>
      <w:r>
        <w:rPr>
          <w:rFonts w:ascii="Times New Roman" w:hAnsi="Times New Roman" w:cs="Times New Roman"/>
          <w:color w:val="C8CED6"/>
          <w:sz w:val="18"/>
          <w:szCs w:val="18"/>
        </w:rPr>
        <w:t xml:space="preserve">–</w:t>
      </w:r>
    </w:p>
    <w:p>
      <w:pPr>
        <w:tabs>
          <w:tab w:val="right" w:leader="dot" w:pos="9618"/>
        </w:tabs>
        <w:spacing w:before="0" w:after="30"/>
        <w:ind w:left="280" w:right="0" w:firstLine="0"/>
      </w:pPr>
      <w:r>
        <w:rPr>
          <w:rFonts w:ascii="Times New Roman" w:hAnsi="Times New Roman" w:cs="Times New Roman"/>
          <w:color w:val="1A1A1A"/>
          <w:sz w:val="19"/>
          <w:szCs w:val="19"/>
        </w:rPr>
        <w:t xml:space="preserve">Figure 6.6   DuPont decomposition of return on equity</w:t>
      </w:r>
      <w:r>
        <w:tab/>
      </w:r>
      <w:r>
        <w:rPr>
          <w:rFonts w:ascii="Times New Roman" w:hAnsi="Times New Roman" w:cs="Times New Roman"/>
          <w:color w:val="C8CED6"/>
          <w:sz w:val="18"/>
          <w:szCs w:val="18"/>
        </w:rPr>
        <w:t xml:space="preserve">–</w:t>
      </w:r>
    </w:p>
    <w:p>
      <w:r>
        <w:br w:type="page"/>
      </w:r>
    </w:p>
    <w:p>
      <w:pPr>
        <w:pBdr>
          <w:bottom w:val="single" w:sz="14" w:space="2" w:color="E87A1E"/>
        </w:pBdr>
        <w:spacing w:before="200" w:after="60"/>
        <w:jc w:val="center"/>
      </w:pPr>
      <w:r>
        <w:rPr>
          <w:rFonts w:ascii="Arial" w:hAnsi="Arial" w:cs="Arial"/>
          <w:b/>
          <w:color w:val="122F5C"/>
          <w:spacing w:val="70"/>
          <w:sz w:val="33"/>
          <w:szCs w:val="33"/>
        </w:rPr>
        <w:t xml:space="preserve">EXECUTIVE SUMMARY</w:t>
      </w:r>
    </w:p>
    <w:p>
      <w:pPr>
        <w:spacing w:before="0" w:after="0"/>
      </w:pPr>
      <w:r>
        <w:rPr>
          <w:sz w:val="16"/>
        </w:rPr>
        <w:t/>
      </w:r>
    </w:p>
    <w:p>
      <w:pPr>
        <w:pBdr>
          <w:left w:val="single" w:sz="14" w:space="8" w:color="4F9EE3"/>
        </w:pBdr>
        <w:spacing w:before="120" w:after="180" w:line="288" w:lineRule="auto"/>
        <w:ind w:left="200" w:right="0" w:firstLine="0"/>
      </w:pPr>
      <w:r>
        <w:rPr>
          <w:rFonts w:ascii="Times New Roman" w:hAnsi="Times New Roman" w:cs="Times New Roman"/>
          <w:i/>
          <w:color w:val="1B4B8A"/>
          <w:sz w:val="24"/>
          <w:szCs w:val="24"/>
        </w:rPr>
        <w:t xml:space="preserve">This report records a six-week internship in the finance function of Infinity Interns and presents a three-year analysis of the organisation's financial management, budgetary control and financial performance.</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The Organisation</w:t>
      </w:r>
    </w:p>
    <w:p>
      <w:pPr>
        <w:spacing w:before="0" w:after="130" w:line="264" w:lineRule="auto"/>
        <w:jc w:val="both"/>
      </w:pPr>
      <w:r>
        <w:rPr>
          <w:rFonts w:ascii="Times New Roman" w:hAnsi="Times New Roman" w:cs="Times New Roman"/>
          <w:color w:val="1A1A1A"/>
          <w:sz w:val="21"/>
          <w:szCs w:val="21"/>
        </w:rPr>
        <w:t xml:space="preserve">Infinity Interns is the internship and career-services brand of Infinitya1 Career Counselling Private Limited, a private limited company operating from the B-Hub incubation centre at Maurya Lok Complex, Patna. It earns revenue from five service lines: paid internship programmes, career counselling and mentoring, business-to-business tie-ups with colleges and corporates, certification and assessment, and short workshops. Paid internship programmes contributed 52.56 per cent of turnover in FY 2025-26.</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Headline Findings</w:t>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80" w:type="dxa"/>
          <w:right w:w="80" w:type="dxa"/>
        </w:tblCellMar>
      </w:tblPr>
      <w:tblGrid>
        <w:gridCol w:w="2404"/>
        <w:gridCol w:w="2404"/>
        <w:gridCol w:w="2404"/>
        <w:gridCol w:w="2404"/>
      </w:tblGrid>
      <w:tr>
        <w:tc>
          <w:tcPr>
            <w:tcW w:w="2404" w:type="dxa"/>
            <w:tcBorders>
              <w:top w:val="single" w:sz="24" w:space="0" w:color="122F5C"/>
            </w:tcBorders>
            <w:shd w:val="clear" w:color="auto" w:fill="EEF4FB"/>
          </w:tcPr>
          <w:p>
            <w:pPr>
              <w:spacing w:before="60" w:after="40"/>
              <w:jc w:val="center"/>
            </w:pPr>
            <w:r>
              <w:rPr>
                <w:rFonts w:ascii="Arial" w:hAnsi="Arial" w:cs="Arial"/>
                <w:b/>
                <w:color w:val="122F5C"/>
                <w:sz w:val="30"/>
                <w:szCs w:val="30"/>
              </w:rPr>
              <w:t xml:space="preserve">₹ 214.60 L</w:t>
            </w:r>
          </w:p>
          <w:p>
            <w:pPr>
              <w:spacing w:before="0" w:after="30"/>
              <w:jc w:val="center"/>
            </w:pPr>
            <w:r>
              <w:rPr>
                <w:rFonts w:ascii="Arial" w:hAnsi="Arial" w:cs="Arial"/>
                <w:b/>
                <w:color w:val="444A55"/>
                <w:sz w:val="15"/>
                <w:szCs w:val="15"/>
              </w:rPr>
              <w:t xml:space="preserve">Revenue from operations</w:t>
            </w:r>
          </w:p>
          <w:p>
            <w:pPr>
              <w:spacing w:before="0" w:after="60"/>
              <w:jc w:val="center"/>
            </w:pPr>
            <w:r>
              <w:rPr>
                <w:rFonts w:ascii="Times New Roman" w:hAnsi="Times New Roman" w:cs="Times New Roman"/>
                <w:i/>
                <w:color w:val="8A919C"/>
                <w:sz w:val="14"/>
                <w:szCs w:val="14"/>
              </w:rPr>
              <w:t xml:space="preserve">FY 2025-26, up 44.3 per cent</w:t>
            </w:r>
          </w:p>
        </w:tc>
        <w:tc>
          <w:tcPr>
            <w:tcW w:w="2404" w:type="dxa"/>
            <w:tcBorders>
              <w:top w:val="single" w:sz="24" w:space="0" w:color="E87A1E"/>
            </w:tcBorders>
            <w:shd w:val="clear" w:color="auto" w:fill="EEF4FB"/>
          </w:tcPr>
          <w:p>
            <w:pPr>
              <w:spacing w:before="60" w:after="40"/>
              <w:jc w:val="center"/>
            </w:pPr>
            <w:r>
              <w:rPr>
                <w:rFonts w:ascii="Arial" w:hAnsi="Arial" w:cs="Arial"/>
                <w:b/>
                <w:color w:val="122F5C"/>
                <w:sz w:val="30"/>
                <w:szCs w:val="30"/>
              </w:rPr>
              <w:t xml:space="preserve">8.63%</w:t>
            </w:r>
          </w:p>
          <w:p>
            <w:pPr>
              <w:spacing w:before="0" w:after="30"/>
              <w:jc w:val="center"/>
            </w:pPr>
            <w:r>
              <w:rPr>
                <w:rFonts w:ascii="Arial" w:hAnsi="Arial" w:cs="Arial"/>
                <w:b/>
                <w:color w:val="444A55"/>
                <w:sz w:val="15"/>
                <w:szCs w:val="15"/>
              </w:rPr>
              <w:t xml:space="preserve">Net profit margin</w:t>
            </w:r>
          </w:p>
          <w:p>
            <w:pPr>
              <w:spacing w:before="0" w:after="60"/>
              <w:jc w:val="center"/>
            </w:pPr>
            <w:r>
              <w:rPr>
                <w:rFonts w:ascii="Times New Roman" w:hAnsi="Times New Roman" w:cs="Times New Roman"/>
                <w:i/>
                <w:color w:val="8A919C"/>
                <w:sz w:val="14"/>
                <w:szCs w:val="14"/>
              </w:rPr>
              <w:t xml:space="preserve">against 3.27% in FY 2023-24</w:t>
            </w:r>
          </w:p>
        </w:tc>
        <w:tc>
          <w:tcPr>
            <w:tcW w:w="2404" w:type="dxa"/>
            <w:tcBorders>
              <w:top w:val="single" w:sz="24" w:space="0" w:color="4F9EE3"/>
            </w:tcBorders>
            <w:shd w:val="clear" w:color="auto" w:fill="EEF4FB"/>
          </w:tcPr>
          <w:p>
            <w:pPr>
              <w:spacing w:before="60" w:after="40"/>
              <w:jc w:val="center"/>
            </w:pPr>
            <w:r>
              <w:rPr>
                <w:rFonts w:ascii="Arial" w:hAnsi="Arial" w:cs="Arial"/>
                <w:b/>
                <w:color w:val="122F5C"/>
                <w:sz w:val="30"/>
                <w:szCs w:val="30"/>
              </w:rPr>
              <w:t xml:space="preserve">53.23%</w:t>
            </w:r>
          </w:p>
          <w:p>
            <w:pPr>
              <w:spacing w:before="0" w:after="30"/>
              <w:jc w:val="center"/>
            </w:pPr>
            <w:r>
              <w:rPr>
                <w:rFonts w:ascii="Arial" w:hAnsi="Arial" w:cs="Arial"/>
                <w:b/>
                <w:color w:val="444A55"/>
                <w:sz w:val="15"/>
                <w:szCs w:val="15"/>
              </w:rPr>
              <w:t xml:space="preserve">Return on capital employed</w:t>
            </w:r>
          </w:p>
          <w:p>
            <w:pPr>
              <w:spacing w:before="0" w:after="60"/>
              <w:jc w:val="center"/>
            </w:pPr>
            <w:r>
              <w:rPr>
                <w:rFonts w:ascii="Times New Roman" w:hAnsi="Times New Roman" w:cs="Times New Roman"/>
                <w:i/>
                <w:color w:val="8A919C"/>
                <w:sz w:val="14"/>
                <w:szCs w:val="14"/>
              </w:rPr>
              <w:t xml:space="preserve">against 21.77% in FY 2023-24</w:t>
            </w:r>
          </w:p>
        </w:tc>
        <w:tc>
          <w:tcPr>
            <w:tcW w:w="2404" w:type="dxa"/>
            <w:tcBorders>
              <w:top w:val="single" w:sz="24" w:space="0" w:color="118A8E"/>
            </w:tcBorders>
            <w:shd w:val="clear" w:color="auto" w:fill="EEF4FB"/>
          </w:tcPr>
          <w:p>
            <w:pPr>
              <w:spacing w:before="60" w:after="40"/>
              <w:jc w:val="center"/>
            </w:pPr>
            <w:r>
              <w:rPr>
                <w:rFonts w:ascii="Arial" w:hAnsi="Arial" w:cs="Arial"/>
                <w:b/>
                <w:color w:val="122F5C"/>
                <w:sz w:val="30"/>
                <w:szCs w:val="30"/>
              </w:rPr>
              <w:t xml:space="preserve">0.26</w:t>
            </w:r>
          </w:p>
          <w:p>
            <w:pPr>
              <w:spacing w:before="0" w:after="30"/>
              <w:jc w:val="center"/>
            </w:pPr>
            <w:r>
              <w:rPr>
                <w:rFonts w:ascii="Arial" w:hAnsi="Arial" w:cs="Arial"/>
                <w:b/>
                <w:color w:val="444A55"/>
                <w:sz w:val="15"/>
                <w:szCs w:val="15"/>
              </w:rPr>
              <w:t xml:space="preserve">Debt-equity ratio</w:t>
            </w:r>
          </w:p>
          <w:p>
            <w:pPr>
              <w:spacing w:before="0" w:after="60"/>
              <w:jc w:val="center"/>
            </w:pPr>
            <w:r>
              <w:rPr>
                <w:rFonts w:ascii="Times New Roman" w:hAnsi="Times New Roman" w:cs="Times New Roman"/>
                <w:i/>
                <w:color w:val="8A919C"/>
                <w:sz w:val="14"/>
                <w:szCs w:val="14"/>
              </w:rPr>
              <w:t xml:space="preserve">down from 0.86 in FY 2023-24</w:t>
            </w:r>
          </w:p>
        </w:tc>
      </w:tr>
    </w:tbl>
    <w:p>
      <w:pPr>
        <w:spacing w:before="0" w:after="0"/>
      </w:pPr>
      <w:r>
        <w:rPr>
          <w:sz w:val="16"/>
        </w:rPr>
        <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1.</w:t>
      </w:r>
      <w:r>
        <w:tab/>
      </w:r>
      <w:r>
        <w:rPr>
          <w:rFonts w:ascii="Times New Roman" w:hAnsi="Times New Roman" w:cs="Times New Roman"/>
          <w:b/>
          <w:color w:val="1A1A1A"/>
          <w:sz w:val="21"/>
          <w:szCs w:val="21"/>
        </w:rPr>
        <w:t xml:space="preserve">Growth has been rapid and profitable.</w:t>
      </w:r>
      <w:r>
        <w:rPr>
          <w:rFonts w:ascii="Times New Roman" w:hAnsi="Times New Roman" w:cs="Times New Roman"/>
          <w:color w:val="1A1A1A"/>
          <w:sz w:val="21"/>
          <w:szCs w:val="21"/>
        </w:rPr>
        <w:t xml:space="preserve"> Revenue from operations rose from ₹ 96.40 lakh in FY 2023-24 to ₹ 214.60 lakh in FY 2025-26, a compound annual growth rate of approximately 49 per cent. Profit after tax rose almost six-fold, from ₹ 3.15 lakh to ₹ 18.53 lakh, so the growth has been accompanied by, and not purchased at the expense of, profitability.</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2.</w:t>
      </w:r>
      <w:r>
        <w:tab/>
      </w:r>
      <w:r>
        <w:rPr>
          <w:rFonts w:ascii="Times New Roman" w:hAnsi="Times New Roman" w:cs="Times New Roman"/>
          <w:b/>
          <w:color w:val="1A1A1A"/>
          <w:sz w:val="21"/>
          <w:szCs w:val="21"/>
        </w:rPr>
        <w:t xml:space="preserve">Margins have widened at every level.</w:t>
      </w:r>
      <w:r>
        <w:rPr>
          <w:rFonts w:ascii="Times New Roman" w:hAnsi="Times New Roman" w:cs="Times New Roman"/>
          <w:color w:val="1A1A1A"/>
          <w:sz w:val="21"/>
          <w:szCs w:val="21"/>
        </w:rPr>
        <w:t xml:space="preserve"> The gross contribution margin improved from 60.37 per cent to 63.05 per cent, the operating margin from 5.50 per cent to 12.26 per cent and the net margin from 3.27 per cent to 8.63 per cent. The widening is largely the effect of a broadly fixed overhead base being spread over a much larger revenue.</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3.</w:t>
      </w:r>
      <w:r>
        <w:tab/>
      </w:r>
      <w:r>
        <w:rPr>
          <w:rFonts w:ascii="Times New Roman" w:hAnsi="Times New Roman" w:cs="Times New Roman"/>
          <w:b/>
          <w:color w:val="1A1A1A"/>
          <w:sz w:val="21"/>
          <w:szCs w:val="21"/>
        </w:rPr>
        <w:t xml:space="preserve">Liquidity is adequate but not comfortable.</w:t>
      </w:r>
      <w:r>
        <w:rPr>
          <w:rFonts w:ascii="Times New Roman" w:hAnsi="Times New Roman" w:cs="Times New Roman"/>
          <w:color w:val="1A1A1A"/>
          <w:sz w:val="21"/>
          <w:szCs w:val="21"/>
        </w:rPr>
        <w:t xml:space="preserve"> The current ratio stood at 1.88:1 and the quick ratio at 1.72:1 at the close of FY 2025-26. Both are below the conventional 2:1 and 1:1 benchmarks read together, although the absence of inventory makes the conventional benchmark a generous test in this business.</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4.</w:t>
      </w:r>
      <w:r>
        <w:tab/>
      </w:r>
      <w:r>
        <w:rPr>
          <w:rFonts w:ascii="Times New Roman" w:hAnsi="Times New Roman" w:cs="Times New Roman"/>
          <w:b/>
          <w:color w:val="1A1A1A"/>
          <w:sz w:val="21"/>
          <w:szCs w:val="21"/>
        </w:rPr>
        <w:t xml:space="preserve">Solvency has strengthened markedly.</w:t>
      </w:r>
      <w:r>
        <w:rPr>
          <w:rFonts w:ascii="Times New Roman" w:hAnsi="Times New Roman" w:cs="Times New Roman"/>
          <w:color w:val="1A1A1A"/>
          <w:sz w:val="21"/>
          <w:szCs w:val="21"/>
        </w:rPr>
        <w:t xml:space="preserve"> The debt-equity ratio fell from 0.86 to 0.26 and interest coverage rose from 4.82 times to 16.44 times. Retained earnings, not fresh borrowing, have financed the expansion.</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5.</w:t>
      </w:r>
      <w:r>
        <w:tab/>
      </w:r>
      <w:r>
        <w:rPr>
          <w:rFonts w:ascii="Times New Roman" w:hAnsi="Times New Roman" w:cs="Times New Roman"/>
          <w:b/>
          <w:color w:val="1A1A1A"/>
          <w:sz w:val="21"/>
          <w:szCs w:val="21"/>
        </w:rPr>
        <w:t xml:space="preserve">The working capital cycle is structurally favourable.</w:t>
      </w:r>
      <w:r>
        <w:rPr>
          <w:rFonts w:ascii="Times New Roman" w:hAnsi="Times New Roman" w:cs="Times New Roman"/>
          <w:color w:val="1A1A1A"/>
          <w:sz w:val="21"/>
          <w:szCs w:val="21"/>
        </w:rPr>
        <w:t xml:space="preserve"> Debtors were collected in about 34.0 days while trade creditors were settled in about 62.4 days, producing a negative cash conversion cycle of about 28.4 days. Operations are therefore partly financed by trade credit.</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6.</w:t>
      </w:r>
      <w:r>
        <w:tab/>
      </w:r>
      <w:r>
        <w:rPr>
          <w:rFonts w:ascii="Times New Roman" w:hAnsi="Times New Roman" w:cs="Times New Roman"/>
          <w:b/>
          <w:color w:val="1A1A1A"/>
          <w:sz w:val="21"/>
          <w:szCs w:val="21"/>
        </w:rPr>
        <w:t xml:space="preserve">Budgetary control is operative but incomplete.</w:t>
      </w:r>
      <w:r>
        <w:rPr>
          <w:rFonts w:ascii="Times New Roman" w:hAnsi="Times New Roman" w:cs="Times New Roman"/>
          <w:color w:val="1A1A1A"/>
          <w:sz w:val="21"/>
          <w:szCs w:val="21"/>
        </w:rPr>
        <w:t xml:space="preserve"> Revenue exceeded budget by 4.68 per cent, yet marketing and digital promotion overshot its provision by 10.33 per cent and direct programme cost by 4.34 per cent. Variance analysis is performed annually rather than monthly, which delays corrective action.</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7.</w:t>
      </w:r>
      <w:r>
        <w:tab/>
      </w:r>
      <w:r>
        <w:rPr>
          <w:rFonts w:ascii="Times New Roman" w:hAnsi="Times New Roman" w:cs="Times New Roman"/>
          <w:b/>
          <w:color w:val="1A1A1A"/>
          <w:sz w:val="21"/>
          <w:szCs w:val="21"/>
        </w:rPr>
        <w:t xml:space="preserve">Cash generation is genuine.</w:t>
      </w:r>
      <w:r>
        <w:rPr>
          <w:rFonts w:ascii="Times New Roman" w:hAnsi="Times New Roman" w:cs="Times New Roman"/>
          <w:color w:val="1A1A1A"/>
          <w:sz w:val="21"/>
          <w:szCs w:val="21"/>
        </w:rPr>
        <w:t xml:space="preserve"> Net cash from operating activities of ₹ 18.61 lakh financed the entire capital programme of ₹ 8.50 lakh and still left an increase of ₹ 10.41 lakh in cash balances, which is the strongest single indicator in the accounts.</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Principal Suggestions</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Introduce a monthly, not annual, budget-versus-actual review, with a formal explanation required for any head deviating by more than five per cent.</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Tighten credit control over institutional receivables through a documented credit policy, milestone-linked invoicing and a monthly ageing review.</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Measure marketing spend against cost per enrolled intern by channel, so that the overspend becomes a decision about efficiency rather than an accident of budgeting.</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Build a formal cash budget for the lean third quarter and consider arranging a modest working capital limit before it is needed rather than after.</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Adopt cohort-wise contribution reporting so that pricing and mentor-payout decisions can be taken on the basis of contribution rather than gross revenue.</w:t>
      </w:r>
    </w:p>
    <w:p>
      <w:pPr>
        <w:spacing w:before="0" w:after="130" w:line="264" w:lineRule="auto"/>
        <w:jc w:val="both"/>
      </w:pPr>
      <w:r>
        <w:rPr>
          <w:rFonts w:ascii="Times New Roman" w:hAnsi="Times New Roman" w:cs="Times New Roman"/>
          <w:color w:val="1A1A1A"/>
          <w:sz w:val="21"/>
          <w:szCs w:val="21"/>
        </w:rPr>
        <w:t xml:space="preserve">The overall conclusion of the study is that Infinity Interns is a financially sound and rapidly improving enterprise whose principal financial risks lie not in profitability or solvency but in the management of receivables, the seasonality of its cash flows and the discipline of its cost control. Each of these is capable of being addressed by systems rather than by capital.</w:t>
      </w:r>
    </w:p>
    <w:p>
      <w:r>
        <w:br w:type="page"/>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0" w:type="dxa"/>
          <w:left w:w="160" w:type="dxa"/>
          <w:bottom w:w="140" w:type="dxa"/>
          <w:right w:w="120" w:type="dxa"/>
        </w:tblCellMar>
      </w:tblPr>
      <w:tblGrid>
        <w:gridCol w:w="1731"/>
        <w:gridCol w:w="7887"/>
      </w:tblGrid>
      <w:tr>
        <w:trPr>
          <w:cantSplit/>
        </w:trPr>
        <w:tc>
          <w:tcPr>
            <w:tcW w:w="1731" w:type="dxa"/>
            <w:shd w:val="clear" w:color="auto" w:fill="122F5C"/>
            <w:vAlign w:val="center"/>
          </w:tcPr>
          <w:p>
            <w:pPr>
              <w:spacing w:before="0" w:after="20"/>
            </w:pPr>
            <w:r>
              <w:rPr>
                <w:rFonts w:ascii="Arial" w:hAnsi="Arial" w:cs="Arial"/>
                <w:b/>
                <w:color w:val="4F9EE3"/>
                <w:spacing w:val="60"/>
                <w:sz w:val="16"/>
                <w:szCs w:val="16"/>
              </w:rPr>
              <w:t xml:space="preserve">CHAPTER</w:t>
            </w:r>
          </w:p>
          <w:p>
            <w:pPr>
              <w:spacing w:before="0" w:after="0"/>
            </w:pPr>
            <w:r>
              <w:rPr>
                <w:rFonts w:ascii="Arial" w:hAnsi="Arial" w:cs="Arial"/>
                <w:b/>
                <w:color w:val="E87A1E"/>
                <w:sz w:val="62"/>
                <w:szCs w:val="62"/>
              </w:rPr>
              <w:t xml:space="preserve">1</w:t>
            </w:r>
          </w:p>
        </w:tc>
        <w:tc>
          <w:tcPr>
            <w:tcW w:w="7887" w:type="dxa"/>
            <w:shd w:val="clear" w:color="auto" w:fill="122F5C"/>
            <w:vAlign w:val="center"/>
          </w:tcPr>
          <w:p>
            <w:pPr>
              <w:spacing w:before="60" w:after="0"/>
            </w:pPr>
            <w:r>
              <w:rPr>
                <w:rFonts w:ascii="Arial" w:hAnsi="Arial" w:cs="Arial"/>
                <w:b/>
                <w:color w:val="FFFFFF"/>
                <w:sz w:val="38"/>
                <w:szCs w:val="38"/>
              </w:rPr>
              <w:t xml:space="preserve">INTRODUCTION</w:t>
            </w:r>
          </w:p>
        </w:tc>
      </w:tr>
    </w:tbl>
    <w:p>
      <w:pPr>
        <w:pBdr>
          <w:bottom w:val="single" w:sz="18" w:space="2" w:color="E87A1E"/>
        </w:pBdr>
        <w:spacing w:before="0" w:after="0"/>
      </w:pPr>
    </w:p>
    <w:p>
      <w:pPr>
        <w:spacing w:before="140" w:after="160" w:line="280" w:lineRule="auto"/>
        <w:jc w:val="both"/>
      </w:pPr>
      <w:r>
        <w:rPr>
          <w:rFonts w:ascii="Times New Roman" w:hAnsi="Times New Roman" w:cs="Times New Roman"/>
          <w:i/>
          <w:color w:val="444A55"/>
          <w:sz w:val="21"/>
          <w:szCs w:val="21"/>
        </w:rPr>
        <w:t xml:space="preserve">The purpose, scope, objectives and method of the study, and the limitations within which its conclusions should be read.</w:t>
      </w:r>
    </w:p>
    <w:p>
      <w:pPr>
        <w:pBdr>
          <w:left w:val="single" w:sz="14" w:space="8" w:color="4F9EE3"/>
        </w:pBdr>
        <w:spacing w:before="120" w:after="180" w:line="288" w:lineRule="auto"/>
        <w:ind w:left="200" w:right="0" w:firstLine="0"/>
      </w:pPr>
      <w:r>
        <w:rPr>
          <w:rFonts w:ascii="Times New Roman" w:hAnsi="Times New Roman" w:cs="Times New Roman"/>
          <w:i/>
          <w:color w:val="1B4B8A"/>
          <w:sz w:val="24"/>
          <w:szCs w:val="24"/>
        </w:rPr>
        <w:t xml:space="preserve">An internship is not merely an exposure visit. It is a controlled experiment in which a student discovers which parts of what has been taught actually survive contact with an operating enterprise.</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1.1  Background of the Study</w:t>
      </w:r>
    </w:p>
    <w:p>
      <w:pPr>
        <w:spacing w:before="0" w:after="130" w:line="264" w:lineRule="auto"/>
        <w:jc w:val="both"/>
      </w:pPr>
      <w:r>
        <w:rPr>
          <w:rFonts w:ascii="Times New Roman" w:hAnsi="Times New Roman" w:cs="Times New Roman"/>
          <w:color w:val="1A1A1A"/>
          <w:sz w:val="21"/>
          <w:szCs w:val="21"/>
        </w:rPr>
        <w:t xml:space="preserve">Financial management is concerned with three decisions that every enterprise must take repeatedly: how much to invest and in what, how to raise the money for that investment, and how much of the resulting surplus to retain. In the large, established company these decisions are taken at intervals by committees and are insulated from daily operations. In a young, growing enterprise they are taken almost continuously, often by the same two or three people, and their consequences appear on the face of the accounts within a quarter. For a student of Financial Management, the second setting is by far the more instructive.</w:t>
      </w:r>
    </w:p>
    <w:p>
      <w:pPr>
        <w:spacing w:before="0" w:after="130" w:line="264" w:lineRule="auto"/>
        <w:jc w:val="both"/>
      </w:pPr>
      <w:r>
        <w:rPr>
          <w:rFonts w:ascii="Times New Roman" w:hAnsi="Times New Roman" w:cs="Times New Roman"/>
          <w:color w:val="1A1A1A"/>
          <w:sz w:val="21"/>
          <w:szCs w:val="21"/>
        </w:rPr>
        <w:t xml:space="preserve">The Indian education and career-services sector has expanded rapidly over the last decade, driven by a large cohort of graduates entering a labour market that increasingly values demonstrated practical exposure over certification alone. A category of organisation has emerged to serve that need: the structured internship provider, which mediates between students seeking experience, colleges seeking placement outcomes and employers seeking pre-screened talent. Infinity Interns, the internship and career-services unit of Infinitya1 Career Counselling Private Limited, is an enterprise of exactly this description, operating from the B-Hub incubation facility at Maurya Lok Complex in Patna.</w:t>
      </w:r>
    </w:p>
    <w:p>
      <w:pPr>
        <w:spacing w:before="0" w:after="130" w:line="264" w:lineRule="auto"/>
        <w:jc w:val="both"/>
      </w:pPr>
      <w:r>
        <w:rPr>
          <w:rFonts w:ascii="Times New Roman" w:hAnsi="Times New Roman" w:cs="Times New Roman"/>
          <w:color w:val="1A1A1A"/>
          <w:sz w:val="21"/>
          <w:szCs w:val="21"/>
        </w:rPr>
        <w:t xml:space="preserve">Such an organisation presents a distinctive financial structure. It holds no inventory. Its principal cost is the cost of delivering a programme — mentor honoraria, content, assessment and certification — which varies directly with the number of enrolments. Its overheads, by contrast, are largely committed: salaries, platform subscriptions, incubation charges and brand marketing do not fall if a cohort is small. Revenue is strongly seasonal, concentrated in the summer and winter internship windows. Collections from individual students are immediate, while collections from institutional clients are not. Each of these features has a direct bearing on liquidity, on the behaviour of costs and on the design of a budgetary control system, and each is examined in the chapters that follow.</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1.2  Rationale for Selecting the Organisation</w:t>
      </w:r>
    </w:p>
    <w:p>
      <w:pPr>
        <w:spacing w:before="0" w:after="130" w:line="264" w:lineRule="auto"/>
        <w:jc w:val="both"/>
      </w:pPr>
      <w:r>
        <w:rPr>
          <w:rFonts w:ascii="Times New Roman" w:hAnsi="Times New Roman" w:cs="Times New Roman"/>
          <w:color w:val="1A1A1A"/>
          <w:sz w:val="21"/>
          <w:szCs w:val="21"/>
        </w:rPr>
        <w:t xml:space="preserve">Three considerations governed the choice of the host organisation:</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1.</w:t>
      </w:r>
      <w:r>
        <w:tab/>
      </w:r>
      <w:r>
        <w:rPr>
          <w:rFonts w:ascii="Times New Roman" w:hAnsi="Times New Roman" w:cs="Times New Roman"/>
          <w:b/>
          <w:color w:val="1A1A1A"/>
          <w:sz w:val="21"/>
          <w:szCs w:val="21"/>
        </w:rPr>
        <w:t xml:space="preserve">Visibility of the finance function.</w:t>
      </w:r>
      <w:r>
        <w:rPr>
          <w:rFonts w:ascii="Times New Roman" w:hAnsi="Times New Roman" w:cs="Times New Roman"/>
          <w:color w:val="1A1A1A"/>
          <w:sz w:val="21"/>
          <w:szCs w:val="21"/>
        </w:rPr>
        <w:t xml:space="preserve"> In a small company the entire finance cycle — from the raising of an invoice to the reconciliation of a bank statement and the preparation of a management report — can be observed by one person within a few weeks. In a large company an intern would see one narrow slice of it.</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2.</w:t>
      </w:r>
      <w:r>
        <w:tab/>
      </w:r>
      <w:r>
        <w:rPr>
          <w:rFonts w:ascii="Times New Roman" w:hAnsi="Times New Roman" w:cs="Times New Roman"/>
          <w:b/>
          <w:color w:val="1A1A1A"/>
          <w:sz w:val="21"/>
          <w:szCs w:val="21"/>
        </w:rPr>
        <w:t xml:space="preserve">Relevance to the specialisation.</w:t>
      </w:r>
      <w:r>
        <w:rPr>
          <w:rFonts w:ascii="Times New Roman" w:hAnsi="Times New Roman" w:cs="Times New Roman"/>
          <w:color w:val="1A1A1A"/>
          <w:sz w:val="21"/>
          <w:szCs w:val="21"/>
        </w:rPr>
        <w:t xml:space="preserve"> The organisation had live questions of exactly the kind the Financial Management syllabus addresses: whether marketing spend was earning its keep, why cash was tight in a profitable quarter, and how much of the cost base would fall if enrolments fell.</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3.</w:t>
      </w:r>
      <w:r>
        <w:tab/>
      </w:r>
      <w:r>
        <w:rPr>
          <w:rFonts w:ascii="Times New Roman" w:hAnsi="Times New Roman" w:cs="Times New Roman"/>
          <w:b/>
          <w:color w:val="1A1A1A"/>
          <w:sz w:val="21"/>
          <w:szCs w:val="21"/>
        </w:rPr>
        <w:t xml:space="preserve">Access and consent.</w:t>
      </w:r>
      <w:r>
        <w:rPr>
          <w:rFonts w:ascii="Times New Roman" w:hAnsi="Times New Roman" w:cs="Times New Roman"/>
          <w:color w:val="1A1A1A"/>
          <w:sz w:val="21"/>
          <w:szCs w:val="21"/>
        </w:rPr>
        <w:t xml:space="preserve"> The management was willing to explain its records and to permit the use of indicative figures for academic analysis. Without that consent, a study of this kind degenerates into description of publicly available material.</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1.3  Statement of the Problem</w:t>
      </w:r>
    </w:p>
    <w:p>
      <w:pPr>
        <w:spacing w:before="0" w:after="130" w:line="264" w:lineRule="auto"/>
        <w:jc w:val="both"/>
      </w:pPr>
      <w:r>
        <w:rPr>
          <w:rFonts w:ascii="Times New Roman" w:hAnsi="Times New Roman" w:cs="Times New Roman"/>
          <w:color w:val="1A1A1A"/>
          <w:sz w:val="21"/>
          <w:szCs w:val="21"/>
        </w:rPr>
        <w:t xml:space="preserve">A rapidly growing enterprise can fail for reasons that have nothing to do with the attractiveness of its market. It can grow faster than its working capital permits; it can allow the cost of acquiring a customer to rise faster than the contribution that customer generates; it can mistake a favourable revenue variance for good performance while adverse cost variances quietly consume the gain. The problem this study addresses is therefore not whether Infinity Interns is growing, which is evident, but whether the financial management practices supporting that growth are adequate to sustain it.</w:t>
      </w:r>
    </w:p>
    <w:tbl>
      <w:tblPr>
        <w:tblW w:w="9618" w:type="dxa"/>
        <w:tblBorders>
          <w:top w:val="single" w:sz="4" w:space="0" w:color="EEF4FB"/>
          <w:left w:val="single" w:sz="24" w:space="0" w:color="1B4B8A"/>
          <w:bottom w:val="single" w:sz="4" w:space="0" w:color="EEF4FB"/>
          <w:right w:val="single" w:sz="4" w:space="0" w:color="EEF4FB"/>
        </w:tblBorders>
        <w:tblCellMar>
          <w:top w:w="120" w:type="dxa"/>
          <w:left w:w="180" w:type="dxa"/>
          <w:bottom w:w="120" w:type="dxa"/>
          <w:right w:w="160" w:type="dxa"/>
        </w:tblCellMar>
      </w:tblPr>
      <w:tblGrid>
        <w:gridCol w:w="9618"/>
      </w:tblGrid>
      <w:tr>
        <w:tc>
          <w:tcPr>
            <w:tcW w:w="9618" w:type="dxa"/>
            <w:shd w:val="clear" w:color="auto" w:fill="EEF4FB"/>
          </w:tcPr>
          <w:p>
            <w:pPr>
              <w:spacing w:before="0" w:after="60"/>
            </w:pPr>
            <w:r>
              <w:rPr>
                <w:rFonts w:ascii="Arial" w:hAnsi="Arial" w:cs="Arial"/>
                <w:b/>
                <w:color w:val="1B4B8A"/>
                <w:sz w:val="20"/>
                <w:szCs w:val="20"/>
              </w:rPr>
              <w:t xml:space="preserve">The Question the Study Sets Out to Answer</w:t>
            </w:r>
          </w:p>
          <w:p>
            <w:pPr>
              <w:spacing w:before="0" w:after="0" w:line="250" w:lineRule="auto"/>
              <w:jc w:val="both"/>
            </w:pPr>
            <w:r>
              <w:rPr>
                <w:rFonts w:ascii="Times New Roman" w:hAnsi="Times New Roman" w:cs="Times New Roman"/>
                <w:color w:val="1A1A1A"/>
                <w:sz w:val="19"/>
                <w:szCs w:val="19"/>
              </w:rPr>
              <w:t xml:space="preserve">Are the financial management, budgetary control and cost control practices of Infinity Interns adequate to the scale and the seasonality of the business it now operates, and if not, what specific, implementable changes would make them so?</w:t>
            </w:r>
          </w:p>
        </w:tc>
      </w:tr>
    </w:tbl>
    <w:p>
      <w:pPr>
        <w:spacing w:before="0" w:after="0"/>
      </w:pPr>
      <w:r>
        <w:rPr>
          <w:sz w:val="12"/>
        </w:rPr>
        <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1.4  Objectives of the Study</w:t>
      </w:r>
    </w:p>
    <w:p>
      <w:pPr>
        <w:spacing w:before="0" w:after="130" w:line="264" w:lineRule="auto"/>
        <w:jc w:val="both"/>
      </w:pPr>
      <w:r>
        <w:rPr>
          <w:rFonts w:ascii="Times New Roman" w:hAnsi="Times New Roman" w:cs="Times New Roman"/>
          <w:color w:val="1A1A1A"/>
          <w:sz w:val="21"/>
          <w:szCs w:val="21"/>
        </w:rPr>
        <w:t xml:space="preserve">The study was framed around one primary objective and seven secondary objectives.</w:t>
      </w:r>
    </w:p>
    <w:p>
      <w:pPr>
        <w:keepNext/>
        <w:keepLines/>
        <w:spacing w:before="200" w:after="80"/>
      </w:pPr>
      <w:r>
        <w:rPr>
          <w:rFonts w:ascii="Arial" w:hAnsi="Arial" w:cs="Arial"/>
          <w:b/>
          <w:color w:val="1B4B8A"/>
          <w:sz w:val="21"/>
          <w:szCs w:val="21"/>
        </w:rPr>
        <w:t xml:space="preserve">Primary Objective</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To study and evaluate the financial management practices of Infinity Interns, with particular reference to budgeting, cost control and financial performance, and to draw implementable conclusions from that evaluation.</w:t>
      </w:r>
    </w:p>
    <w:p>
      <w:pPr>
        <w:keepNext/>
        <w:keepLines/>
        <w:spacing w:before="200" w:after="80"/>
      </w:pPr>
      <w:r>
        <w:rPr>
          <w:rFonts w:ascii="Arial" w:hAnsi="Arial" w:cs="Arial"/>
          <w:b/>
          <w:color w:val="1B4B8A"/>
          <w:sz w:val="21"/>
          <w:szCs w:val="21"/>
        </w:rPr>
        <w:t xml:space="preserve">Secondary Objectives</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1.</w:t>
      </w:r>
      <w:r>
        <w:tab/>
      </w:r>
      <w:r>
        <w:rPr>
          <w:rFonts w:ascii="Times New Roman" w:hAnsi="Times New Roman" w:cs="Times New Roman"/>
          <w:color w:val="1A1A1A"/>
          <w:sz w:val="21"/>
          <w:szCs w:val="21"/>
        </w:rPr>
        <w:t xml:space="preserve">To understand the organisational structure of the finance function and the flow of financial information within it.</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2.</w:t>
      </w:r>
      <w:r>
        <w:tab/>
      </w:r>
      <w:r>
        <w:rPr>
          <w:rFonts w:ascii="Times New Roman" w:hAnsi="Times New Roman" w:cs="Times New Roman"/>
          <w:color w:val="1A1A1A"/>
          <w:sz w:val="21"/>
          <w:szCs w:val="21"/>
        </w:rPr>
        <w:t xml:space="preserve">To examine the system of books of account, vouchers and internal checks maintained by the organisation.</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3.</w:t>
      </w:r>
      <w:r>
        <w:tab/>
      </w:r>
      <w:r>
        <w:rPr>
          <w:rFonts w:ascii="Times New Roman" w:hAnsi="Times New Roman" w:cs="Times New Roman"/>
          <w:color w:val="1A1A1A"/>
          <w:sz w:val="21"/>
          <w:szCs w:val="21"/>
        </w:rPr>
        <w:t xml:space="preserve">To analyse the composition and behaviour of revenue and cost over the three financial years from FY 2023-24 to FY 2025-26.</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4.</w:t>
      </w:r>
      <w:r>
        <w:tab/>
      </w:r>
      <w:r>
        <w:rPr>
          <w:rFonts w:ascii="Times New Roman" w:hAnsi="Times New Roman" w:cs="Times New Roman"/>
          <w:color w:val="1A1A1A"/>
          <w:sz w:val="21"/>
          <w:szCs w:val="21"/>
        </w:rPr>
        <w:t xml:space="preserve">To evaluate the budgeting process and to quantify and interpret the variance between budgeted and actual performance for FY 2025-26.</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5.</w:t>
      </w:r>
      <w:r>
        <w:tab/>
      </w:r>
      <w:r>
        <w:rPr>
          <w:rFonts w:ascii="Times New Roman" w:hAnsi="Times New Roman" w:cs="Times New Roman"/>
          <w:color w:val="1A1A1A"/>
          <w:sz w:val="21"/>
          <w:szCs w:val="21"/>
        </w:rPr>
        <w:t xml:space="preserve">To compute and interpret the liquidity, profitability, solvency and activity ratios of the organisation and to identify the trends they reveal.</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6.</w:t>
      </w:r>
      <w:r>
        <w:tab/>
      </w:r>
      <w:r>
        <w:rPr>
          <w:rFonts w:ascii="Times New Roman" w:hAnsi="Times New Roman" w:cs="Times New Roman"/>
          <w:color w:val="1A1A1A"/>
          <w:sz w:val="21"/>
          <w:szCs w:val="21"/>
        </w:rPr>
        <w:t xml:space="preserve">To segregate costs into their fixed and variable components and to derive the contribution, profit-volume ratio, break-even sales and margin of safety.</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7.</w:t>
      </w:r>
      <w:r>
        <w:tab/>
      </w:r>
      <w:r>
        <w:rPr>
          <w:rFonts w:ascii="Times New Roman" w:hAnsi="Times New Roman" w:cs="Times New Roman"/>
          <w:color w:val="1A1A1A"/>
          <w:sz w:val="21"/>
          <w:szCs w:val="21"/>
        </w:rPr>
        <w:t xml:space="preserve">To identify the principal weaknesses in the existing system and to frame specific suggestions for improvement.</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1.5  Scope of the Study</w:t>
      </w:r>
    </w:p>
    <w:p>
      <w:pPr>
        <w:spacing w:before="0" w:after="130" w:line="264" w:lineRule="auto"/>
        <w:jc w:val="both"/>
      </w:pPr>
      <w:r>
        <w:rPr>
          <w:rFonts w:ascii="Times New Roman" w:hAnsi="Times New Roman" w:cs="Times New Roman"/>
          <w:color w:val="1A1A1A"/>
          <w:sz w:val="21"/>
          <w:szCs w:val="21"/>
        </w:rPr>
        <w:t xml:space="preserve">The scope of the study is defined along four dimensions.</w:t>
      </w:r>
    </w:p>
    <w:p>
      <w:pPr>
        <w:keepNext/>
        <w:keepLines/>
        <w:pBdr>
          <w:left w:val="single" w:sz="8" w:space="6" w:color="C8CED6"/>
        </w:pBdr>
        <w:spacing w:before="140" w:after="40"/>
        <w:ind w:left="200" w:right="0" w:firstLine="0"/>
      </w:pPr>
      <w:r>
        <w:rPr>
          <w:rFonts w:ascii="Arial" w:hAnsi="Arial" w:cs="Arial"/>
          <w:b/>
          <w:color w:val="1B4B8A"/>
          <w:sz w:val="19"/>
          <w:szCs w:val="19"/>
        </w:rPr>
        <w:t xml:space="preserve">Functional scope</w:t>
      </w:r>
    </w:p>
    <w:p>
      <w:pPr>
        <w:spacing w:before="0" w:after="120" w:line="264" w:lineRule="auto"/>
        <w:ind w:left="200" w:right="0" w:firstLine="0"/>
        <w:jc w:val="both"/>
      </w:pPr>
      <w:r>
        <w:rPr>
          <w:rFonts w:ascii="Times New Roman" w:hAnsi="Times New Roman" w:cs="Times New Roman"/>
          <w:color w:val="1A1A1A"/>
          <w:sz w:val="21"/>
          <w:szCs w:val="21"/>
        </w:rPr>
        <w:t xml:space="preserve">The study is confined to the finance and accounts function. Marketing, human resource and technology matters are considered only to the extent that they have a direct financial consequence.</w:t>
      </w:r>
    </w:p>
    <w:p>
      <w:pPr>
        <w:keepNext/>
        <w:keepLines/>
        <w:pBdr>
          <w:left w:val="single" w:sz="8" w:space="6" w:color="C8CED6"/>
        </w:pBdr>
        <w:spacing w:before="140" w:after="40"/>
        <w:ind w:left="200" w:right="0" w:firstLine="0"/>
      </w:pPr>
      <w:r>
        <w:rPr>
          <w:rFonts w:ascii="Arial" w:hAnsi="Arial" w:cs="Arial"/>
          <w:b/>
          <w:color w:val="1B4B8A"/>
          <w:sz w:val="19"/>
          <w:szCs w:val="19"/>
        </w:rPr>
        <w:t xml:space="preserve">Organisational scope</w:t>
      </w:r>
    </w:p>
    <w:p>
      <w:pPr>
        <w:spacing w:before="0" w:after="120" w:line="264" w:lineRule="auto"/>
        <w:ind w:left="200" w:right="0" w:firstLine="0"/>
        <w:jc w:val="both"/>
      </w:pPr>
      <w:r>
        <w:rPr>
          <w:rFonts w:ascii="Times New Roman" w:hAnsi="Times New Roman" w:cs="Times New Roman"/>
          <w:color w:val="1A1A1A"/>
          <w:sz w:val="21"/>
          <w:szCs w:val="21"/>
        </w:rPr>
        <w:t xml:space="preserve">The study covers Infinity Interns as a unit of Infinitya1 Career Counselling Private Limited, operating from the single location at Maurya Lok Complex, Patna.</w:t>
      </w:r>
    </w:p>
    <w:p>
      <w:pPr>
        <w:keepNext/>
        <w:keepLines/>
        <w:pBdr>
          <w:left w:val="single" w:sz="8" w:space="6" w:color="C8CED6"/>
        </w:pBdr>
        <w:spacing w:before="140" w:after="40"/>
        <w:ind w:left="200" w:right="0" w:firstLine="0"/>
      </w:pPr>
      <w:r>
        <w:rPr>
          <w:rFonts w:ascii="Arial" w:hAnsi="Arial" w:cs="Arial"/>
          <w:b/>
          <w:color w:val="1B4B8A"/>
          <w:sz w:val="19"/>
          <w:szCs w:val="19"/>
        </w:rPr>
        <w:t xml:space="preserve">Period of analysis</w:t>
      </w:r>
    </w:p>
    <w:p>
      <w:pPr>
        <w:spacing w:before="0" w:after="120" w:line="264" w:lineRule="auto"/>
        <w:ind w:left="200" w:right="0" w:firstLine="0"/>
        <w:jc w:val="both"/>
      </w:pPr>
      <w:r>
        <w:rPr>
          <w:rFonts w:ascii="Times New Roman" w:hAnsi="Times New Roman" w:cs="Times New Roman"/>
          <w:color w:val="1A1A1A"/>
          <w:sz w:val="21"/>
          <w:szCs w:val="21"/>
        </w:rPr>
        <w:t xml:space="preserve">The financial analysis covers the three financial years FY 2023-24, FY 2024-25 and FY 2025-26. Three years is the minimum period over which a trend can be distinguished from an aberration.</w:t>
      </w:r>
    </w:p>
    <w:p>
      <w:pPr>
        <w:keepNext/>
        <w:keepLines/>
        <w:pBdr>
          <w:left w:val="single" w:sz="8" w:space="6" w:color="C8CED6"/>
        </w:pBdr>
        <w:spacing w:before="140" w:after="40"/>
        <w:ind w:left="200" w:right="0" w:firstLine="0"/>
      </w:pPr>
      <w:r>
        <w:rPr>
          <w:rFonts w:ascii="Arial" w:hAnsi="Arial" w:cs="Arial"/>
          <w:b/>
          <w:color w:val="1B4B8A"/>
          <w:sz w:val="19"/>
          <w:szCs w:val="19"/>
        </w:rPr>
        <w:t xml:space="preserve">Period of observation</w:t>
      </w:r>
    </w:p>
    <w:p>
      <w:pPr>
        <w:spacing w:before="0" w:after="120" w:line="264" w:lineRule="auto"/>
        <w:ind w:left="200" w:right="0" w:firstLine="0"/>
        <w:jc w:val="both"/>
      </w:pPr>
      <w:r>
        <w:rPr>
          <w:rFonts w:ascii="Times New Roman" w:hAnsi="Times New Roman" w:cs="Times New Roman"/>
          <w:color w:val="1A1A1A"/>
          <w:sz w:val="21"/>
          <w:szCs w:val="21"/>
        </w:rPr>
        <w:t xml:space="preserve">The internship itself ran from 6th June 2026 to 21st July 2026, a period of 46 Days.</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1.6  Research Methodology</w:t>
      </w:r>
    </w:p>
    <w:p>
      <w:pPr>
        <w:spacing w:before="0" w:after="130" w:line="264" w:lineRule="auto"/>
        <w:jc w:val="both"/>
      </w:pPr>
      <w:r>
        <w:rPr>
          <w:rFonts w:ascii="Times New Roman" w:hAnsi="Times New Roman" w:cs="Times New Roman"/>
          <w:color w:val="1A1A1A"/>
          <w:sz w:val="21"/>
          <w:szCs w:val="21"/>
        </w:rPr>
        <w:t xml:space="preserve">The study is </w:t>
      </w:r>
      <w:r>
        <w:rPr>
          <w:rFonts w:ascii="Times New Roman" w:hAnsi="Times New Roman" w:cs="Times New Roman"/>
          <w:b/>
          <w:color w:val="1A1A1A"/>
          <w:sz w:val="21"/>
          <w:szCs w:val="21"/>
        </w:rPr>
        <w:t xml:space="preserve">analytical and descriptive</w:t>
      </w:r>
      <w:r>
        <w:rPr>
          <w:rFonts w:ascii="Times New Roman" w:hAnsi="Times New Roman" w:cs="Times New Roman"/>
          <w:color w:val="1A1A1A"/>
          <w:sz w:val="21"/>
          <w:szCs w:val="21"/>
        </w:rPr>
        <w:t xml:space="preserve"> in design. It does not test a hypothesis statistically; it reconstructs the financial position of an enterprise from its records and interprets that reconstruction against established benchmarks and against its own history.</w:t>
      </w:r>
    </w:p>
    <w:p>
      <w:pPr>
        <w:keepNext/>
        <w:keepLines/>
        <w:spacing w:before="200" w:after="80"/>
      </w:pPr>
      <w:r>
        <w:rPr>
          <w:rFonts w:ascii="Arial" w:hAnsi="Arial" w:cs="Arial"/>
          <w:b/>
          <w:color w:val="1B4B8A"/>
          <w:sz w:val="21"/>
          <w:szCs w:val="21"/>
        </w:rPr>
        <w:t xml:space="preserve">1.6.1  Sources of Data</w:t>
      </w:r>
    </w:p>
    <w:p>
      <w:pPr>
        <w:keepNext/>
        <w:keepLines/>
        <w:spacing w:before="220" w:after="60"/>
      </w:pPr>
      <w:r>
        <w:rPr>
          <w:rFonts w:ascii="Arial" w:hAnsi="Arial" w:cs="Arial"/>
          <w:b/>
          <w:color w:val="E87A1E"/>
          <w:sz w:val="19"/>
          <w:szCs w:val="19"/>
        </w:rPr>
        <w:t xml:space="preserve">Table 1.1  </w:t>
      </w:r>
      <w:r>
        <w:rPr>
          <w:rFonts w:ascii="Arial" w:hAnsi="Arial" w:cs="Arial"/>
          <w:b/>
          <w:color w:val="122F5C"/>
          <w:sz w:val="19"/>
          <w:szCs w:val="19"/>
        </w:rPr>
        <w:t xml:space="preserve">Sources of data used in the study</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1538"/>
        <w:gridCol w:w="3270"/>
        <w:gridCol w:w="4810"/>
      </w:tblGrid>
      <w:tr>
        <w:trPr>
          <w:cantSplit/>
          <w:tblHeader/>
        </w:trPr>
        <w:tc>
          <w:tcPr>
            <w:tcW w:w="1538" w:type="dxa"/>
            <w:shd w:val="clear" w:color="auto" w:fill="122F5C"/>
            <w:vAlign w:val="center"/>
          </w:tcPr>
          <w:p>
            <w:pPr>
              <w:spacing w:before="0" w:after="0"/>
              <w:jc w:val="left"/>
            </w:pPr>
            <w:r>
              <w:rPr>
                <w:rFonts w:ascii="Arial" w:hAnsi="Arial" w:cs="Arial"/>
                <w:b/>
                <w:color w:val="FFFFFF"/>
                <w:sz w:val="18"/>
                <w:szCs w:val="18"/>
              </w:rPr>
              <w:t xml:space="preserve">Type</w:t>
            </w:r>
          </w:p>
        </w:tc>
        <w:tc>
          <w:tcPr>
            <w:tcW w:w="3270" w:type="dxa"/>
            <w:shd w:val="clear" w:color="auto" w:fill="122F5C"/>
            <w:vAlign w:val="center"/>
          </w:tcPr>
          <w:p>
            <w:pPr>
              <w:spacing w:before="0" w:after="0"/>
              <w:jc w:val="left"/>
            </w:pPr>
            <w:r>
              <w:rPr>
                <w:rFonts w:ascii="Arial" w:hAnsi="Arial" w:cs="Arial"/>
                <w:b/>
                <w:color w:val="FFFFFF"/>
                <w:sz w:val="18"/>
                <w:szCs w:val="18"/>
              </w:rPr>
              <w:t xml:space="preserve">Source</w:t>
            </w:r>
          </w:p>
        </w:tc>
        <w:tc>
          <w:tcPr>
            <w:tcW w:w="4810" w:type="dxa"/>
            <w:shd w:val="clear" w:color="auto" w:fill="122F5C"/>
            <w:vAlign w:val="center"/>
          </w:tcPr>
          <w:p>
            <w:pPr>
              <w:spacing w:before="0" w:after="0"/>
              <w:jc w:val="left"/>
            </w:pPr>
            <w:r>
              <w:rPr>
                <w:rFonts w:ascii="Arial" w:hAnsi="Arial" w:cs="Arial"/>
                <w:b/>
                <w:color w:val="FFFFFF"/>
                <w:sz w:val="18"/>
                <w:szCs w:val="18"/>
              </w:rPr>
              <w:t xml:space="preserve">Use made of the source</w:t>
            </w:r>
          </w:p>
        </w:tc>
      </w:tr>
      <w:tr>
        <w:trPr>
          <w:cantSplit/>
        </w:trPr>
        <w:tc>
          <w:tcPr>
            <w:tcW w:w="153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Primary</w:t>
            </w:r>
          </w:p>
        </w:tc>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Discussions with the company mentor and the accounts team</w:t>
            </w:r>
          </w:p>
        </w:tc>
        <w:tc>
          <w:tcPr>
            <w:tcW w:w="481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Understanding of process, approval limits and the reasons behind variances</w:t>
            </w:r>
          </w:p>
        </w:tc>
      </w:tr>
      <w:tr>
        <w:trPr>
          <w:cantSplit/>
        </w:trPr>
        <w:tc>
          <w:tcPr>
            <w:tcW w:w="153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Primary</w:t>
            </w:r>
          </w:p>
        </w:tc>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Direct observation of voucher entry, reconciliation and reporting</w:t>
            </w:r>
          </w:p>
        </w:tc>
        <w:tc>
          <w:tcPr>
            <w:tcW w:w="481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Assessment of internal check and of the practical control environment</w:t>
            </w:r>
          </w:p>
        </w:tc>
      </w:tr>
      <w:tr>
        <w:trPr>
          <w:cantSplit/>
        </w:trPr>
        <w:tc>
          <w:tcPr>
            <w:tcW w:w="153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Primary</w:t>
            </w:r>
          </w:p>
        </w:tc>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Structured questionnaire and unstructured interviews</w:t>
            </w:r>
          </w:p>
        </w:tc>
        <w:tc>
          <w:tcPr>
            <w:tcW w:w="481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Collection of qualitative views on budgeting discipline and collection practice</w:t>
            </w:r>
          </w:p>
        </w:tc>
      </w:tr>
      <w:tr>
        <w:trPr>
          <w:cantSplit/>
        </w:trPr>
        <w:tc>
          <w:tcPr>
            <w:tcW w:w="153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Secondary</w:t>
            </w:r>
          </w:p>
        </w:tc>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Indicative Statement of Profit and Loss and Balance Sheet, FY 2023-24 to FY 2025-26</w:t>
            </w:r>
          </w:p>
        </w:tc>
        <w:tc>
          <w:tcPr>
            <w:tcW w:w="481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Ratio analysis, trend analysis and cash flow construction</w:t>
            </w:r>
          </w:p>
        </w:tc>
      </w:tr>
      <w:tr>
        <w:trPr>
          <w:cantSplit/>
        </w:trPr>
        <w:tc>
          <w:tcPr>
            <w:tcW w:w="153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Secondary</w:t>
            </w:r>
          </w:p>
        </w:tc>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Internal budget statements and cohort cost sheets for FY 2025-26</w:t>
            </w:r>
          </w:p>
        </w:tc>
        <w:tc>
          <w:tcPr>
            <w:tcW w:w="481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Budget-versus-actual variance analysis and cost behaviour study</w:t>
            </w:r>
          </w:p>
        </w:tc>
      </w:tr>
      <w:tr>
        <w:trPr>
          <w:cantSplit/>
        </w:trPr>
        <w:tc>
          <w:tcPr>
            <w:tcW w:w="153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Secondary</w:t>
            </w:r>
          </w:p>
        </w:tc>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Trade receivable ageing statements and collection registers</w:t>
            </w:r>
          </w:p>
        </w:tc>
        <w:tc>
          <w:tcPr>
            <w:tcW w:w="481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Computation of debtor days and assessment of credit control</w:t>
            </w:r>
          </w:p>
        </w:tc>
      </w:tr>
      <w:tr>
        <w:trPr>
          <w:cantSplit/>
        </w:trPr>
        <w:tc>
          <w:tcPr>
            <w:tcW w:w="153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Secondary</w:t>
            </w:r>
          </w:p>
        </w:tc>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Textbooks, journals and regulatory publications</w:t>
            </w:r>
          </w:p>
        </w:tc>
        <w:tc>
          <w:tcPr>
            <w:tcW w:w="481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Framework, benchmarks and definitions used in interpretation</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Primary data was collected during the internship period; secondary data was made available by the organisation for academic use.</w:t>
      </w:r>
    </w:p>
    <w:p>
      <w:pPr>
        <w:keepNext/>
        <w:keepLines/>
        <w:spacing w:before="200" w:after="80"/>
      </w:pPr>
      <w:r>
        <w:rPr>
          <w:rFonts w:ascii="Arial" w:hAnsi="Arial" w:cs="Arial"/>
          <w:b/>
          <w:color w:val="1B4B8A"/>
          <w:sz w:val="21"/>
          <w:szCs w:val="21"/>
        </w:rPr>
        <w:t xml:space="preserve">1.6.2  Tools of Analysis</w:t>
      </w:r>
    </w:p>
    <w:p>
      <w:pPr>
        <w:spacing w:before="0" w:after="130" w:line="264" w:lineRule="auto"/>
        <w:jc w:val="both"/>
      </w:pPr>
      <w:r>
        <w:rPr>
          <w:rFonts w:ascii="Times New Roman" w:hAnsi="Times New Roman" w:cs="Times New Roman"/>
          <w:color w:val="1A1A1A"/>
          <w:sz w:val="21"/>
          <w:szCs w:val="21"/>
        </w:rPr>
        <w:t xml:space="preserve">The following analytical tools were applied. Each is explained at the point of first use in the chapters that follow, so that the report can be read without recourse to a separate text.</w:t>
      </w:r>
    </w:p>
    <w:p>
      <w:pPr>
        <w:pStyle w:val="ListBullet"/>
        <w:spacing w:before="0" w:after="90" w:line="264" w:lineRule="auto"/>
        <w:ind w:left="360" w:right="0" w:hanging="220"/>
        <w:jc w:val="both"/>
      </w:pPr>
      <w:r>
        <w:rPr>
          <w:rFonts w:ascii="Times New Roman" w:hAnsi="Times New Roman" w:cs="Times New Roman"/>
          <w:b/>
          <w:color w:val="1A1A1A"/>
          <w:sz w:val="21"/>
          <w:szCs w:val="21"/>
        </w:rPr>
        <w:t xml:space="preserve">Comparative and trend analysis</w:t>
      </w:r>
      <w:r>
        <w:rPr>
          <w:rFonts w:ascii="Times New Roman" w:hAnsi="Times New Roman" w:cs="Times New Roman"/>
          <w:color w:val="1A1A1A"/>
          <w:sz w:val="21"/>
          <w:szCs w:val="21"/>
        </w:rPr>
        <w:t xml:space="preserve"> of the Statement of Profit and Loss and the Balance Sheet over three years, expressed in both absolute and percentage terms.</w:t>
      </w:r>
    </w:p>
    <w:p>
      <w:pPr>
        <w:pStyle w:val="ListBullet"/>
        <w:spacing w:before="0" w:after="90" w:line="264" w:lineRule="auto"/>
        <w:ind w:left="360" w:right="0" w:hanging="220"/>
        <w:jc w:val="both"/>
      </w:pPr>
      <w:r>
        <w:rPr>
          <w:rFonts w:ascii="Times New Roman" w:hAnsi="Times New Roman" w:cs="Times New Roman"/>
          <w:b/>
          <w:color w:val="1A1A1A"/>
          <w:sz w:val="21"/>
          <w:szCs w:val="21"/>
        </w:rPr>
        <w:t xml:space="preserve">Common-size statement analysis</w:t>
      </w:r>
      <w:r>
        <w:rPr>
          <w:rFonts w:ascii="Times New Roman" w:hAnsi="Times New Roman" w:cs="Times New Roman"/>
          <w:color w:val="1A1A1A"/>
          <w:sz w:val="21"/>
          <w:szCs w:val="21"/>
        </w:rPr>
        <w:t xml:space="preserve">, in which every line is expressed as a percentage of revenue or of the balance sheet total, so that a change in structure can be separated from a change in scale.</w:t>
      </w:r>
    </w:p>
    <w:p>
      <w:pPr>
        <w:pStyle w:val="ListBullet"/>
        <w:spacing w:before="0" w:after="90" w:line="264" w:lineRule="auto"/>
        <w:ind w:left="360" w:right="0" w:hanging="220"/>
        <w:jc w:val="both"/>
      </w:pPr>
      <w:r>
        <w:rPr>
          <w:rFonts w:ascii="Times New Roman" w:hAnsi="Times New Roman" w:cs="Times New Roman"/>
          <w:b/>
          <w:color w:val="1A1A1A"/>
          <w:sz w:val="21"/>
          <w:szCs w:val="21"/>
        </w:rPr>
        <w:t xml:space="preserve">Ratio analysis</w:t>
      </w:r>
      <w:r>
        <w:rPr>
          <w:rFonts w:ascii="Times New Roman" w:hAnsi="Times New Roman" w:cs="Times New Roman"/>
          <w:color w:val="1A1A1A"/>
          <w:sz w:val="21"/>
          <w:szCs w:val="21"/>
        </w:rPr>
        <w:t xml:space="preserve"> under four heads — liquidity, profitability, solvency and activity — computed for all three years.</w:t>
      </w:r>
    </w:p>
    <w:p>
      <w:pPr>
        <w:pStyle w:val="ListBullet"/>
        <w:spacing w:before="0" w:after="90" w:line="264" w:lineRule="auto"/>
        <w:ind w:left="360" w:right="0" w:hanging="220"/>
        <w:jc w:val="both"/>
      </w:pPr>
      <w:r>
        <w:rPr>
          <w:rFonts w:ascii="Times New Roman" w:hAnsi="Times New Roman" w:cs="Times New Roman"/>
          <w:b/>
          <w:color w:val="1A1A1A"/>
          <w:sz w:val="21"/>
          <w:szCs w:val="21"/>
        </w:rPr>
        <w:t xml:space="preserve">DuPont decomposition</w:t>
      </w:r>
      <w:r>
        <w:rPr>
          <w:rFonts w:ascii="Times New Roman" w:hAnsi="Times New Roman" w:cs="Times New Roman"/>
          <w:color w:val="1A1A1A"/>
          <w:sz w:val="21"/>
          <w:szCs w:val="21"/>
        </w:rPr>
        <w:t xml:space="preserve"> of return on equity into net profit margin, total asset turnover and the equity multiplier, to establish which of the three is driving the return.</w:t>
      </w:r>
    </w:p>
    <w:p>
      <w:pPr>
        <w:pStyle w:val="ListBullet"/>
        <w:spacing w:before="0" w:after="90" w:line="264" w:lineRule="auto"/>
        <w:ind w:left="360" w:right="0" w:hanging="220"/>
        <w:jc w:val="both"/>
      </w:pPr>
      <w:r>
        <w:rPr>
          <w:rFonts w:ascii="Times New Roman" w:hAnsi="Times New Roman" w:cs="Times New Roman"/>
          <w:b/>
          <w:color w:val="1A1A1A"/>
          <w:sz w:val="21"/>
          <w:szCs w:val="21"/>
        </w:rPr>
        <w:t xml:space="preserve">Budgetary control and variance analysis</w:t>
      </w:r>
      <w:r>
        <w:rPr>
          <w:rFonts w:ascii="Times New Roman" w:hAnsi="Times New Roman" w:cs="Times New Roman"/>
          <w:color w:val="1A1A1A"/>
          <w:sz w:val="21"/>
          <w:szCs w:val="21"/>
        </w:rPr>
        <w:t xml:space="preserve">, with variances signed so that a favourable outcome is always positive.</w:t>
      </w:r>
    </w:p>
    <w:p>
      <w:pPr>
        <w:pStyle w:val="ListBullet"/>
        <w:spacing w:before="0" w:after="90" w:line="264" w:lineRule="auto"/>
        <w:ind w:left="360" w:right="0" w:hanging="220"/>
        <w:jc w:val="both"/>
      </w:pPr>
      <w:r>
        <w:rPr>
          <w:rFonts w:ascii="Times New Roman" w:hAnsi="Times New Roman" w:cs="Times New Roman"/>
          <w:b/>
          <w:color w:val="1A1A1A"/>
          <w:sz w:val="21"/>
          <w:szCs w:val="21"/>
        </w:rPr>
        <w:t xml:space="preserve">Cost-volume-profit analysis</w:t>
      </w:r>
      <w:r>
        <w:rPr>
          <w:rFonts w:ascii="Times New Roman" w:hAnsi="Times New Roman" w:cs="Times New Roman"/>
          <w:color w:val="1A1A1A"/>
          <w:sz w:val="21"/>
          <w:szCs w:val="21"/>
        </w:rPr>
        <w:t xml:space="preserve">, including the segregation of semi-variable costs, the profit-volume ratio, break-even sales, margin of safety and operating and financial leverage.</w:t>
      </w:r>
    </w:p>
    <w:p>
      <w:pPr>
        <w:pStyle w:val="ListBullet"/>
        <w:spacing w:before="0" w:after="90" w:line="264" w:lineRule="auto"/>
        <w:ind w:left="360" w:right="0" w:hanging="220"/>
        <w:jc w:val="both"/>
      </w:pPr>
      <w:r>
        <w:rPr>
          <w:rFonts w:ascii="Times New Roman" w:hAnsi="Times New Roman" w:cs="Times New Roman"/>
          <w:b/>
          <w:color w:val="1A1A1A"/>
          <w:sz w:val="21"/>
          <w:szCs w:val="21"/>
        </w:rPr>
        <w:t xml:space="preserve">Cash flow analysis</w:t>
      </w:r>
      <w:r>
        <w:rPr>
          <w:rFonts w:ascii="Times New Roman" w:hAnsi="Times New Roman" w:cs="Times New Roman"/>
          <w:color w:val="1A1A1A"/>
          <w:sz w:val="21"/>
          <w:szCs w:val="21"/>
        </w:rPr>
        <w:t xml:space="preserve"> under the indirect method, prepared from the two statements and reconciled to the movement in cash balances.</w:t>
      </w:r>
    </w:p>
    <w:p>
      <w:pPr>
        <w:pStyle w:val="ListBullet"/>
        <w:spacing w:before="0" w:after="90" w:line="264" w:lineRule="auto"/>
        <w:ind w:left="360" w:right="0" w:hanging="220"/>
        <w:jc w:val="both"/>
      </w:pPr>
      <w:r>
        <w:rPr>
          <w:rFonts w:ascii="Times New Roman" w:hAnsi="Times New Roman" w:cs="Times New Roman"/>
          <w:b/>
          <w:color w:val="1A1A1A"/>
          <w:sz w:val="21"/>
          <w:szCs w:val="21"/>
        </w:rPr>
        <w:t xml:space="preserve">Graphical presentation</w:t>
      </w:r>
      <w:r>
        <w:rPr>
          <w:rFonts w:ascii="Times New Roman" w:hAnsi="Times New Roman" w:cs="Times New Roman"/>
          <w:color w:val="1A1A1A"/>
          <w:sz w:val="21"/>
          <w:szCs w:val="21"/>
        </w:rPr>
        <w:t xml:space="preserve"> through twenty exhibits, since a trend is very often seen before it is calculated.</w:t>
      </w:r>
    </w:p>
    <w:p>
      <w:pPr>
        <w:keepNext/>
        <w:keepLines/>
        <w:spacing w:before="200" w:after="80"/>
      </w:pPr>
      <w:r>
        <w:rPr>
          <w:rFonts w:ascii="Arial" w:hAnsi="Arial" w:cs="Arial"/>
          <w:b/>
          <w:color w:val="1B4B8A"/>
          <w:sz w:val="21"/>
          <w:szCs w:val="21"/>
        </w:rPr>
        <w:t xml:space="preserve">1.6.3  Method of Analysis</w:t>
      </w:r>
    </w:p>
    <w:p>
      <w:pPr>
        <w:spacing w:before="0" w:after="130" w:line="264" w:lineRule="auto"/>
        <w:jc w:val="both"/>
      </w:pPr>
      <w:r>
        <w:rPr>
          <w:rFonts w:ascii="Times New Roman" w:hAnsi="Times New Roman" w:cs="Times New Roman"/>
          <w:color w:val="1A1A1A"/>
          <w:sz w:val="21"/>
          <w:szCs w:val="21"/>
        </w:rPr>
        <w:t xml:space="preserve">Figures were first tabulated in a single worksheet so that every derived number could be traced to a source line. Ratios were then computed on a consistent basis and, where a ratio can be computed on either closing or average balances, the basis adopted has been stated alongside the table. Interpretation proceeded in three steps: comparison with the organisation's own prior years, comparison with a conventional benchmark, and an attempt to explain the movement by reference to an operating cause rather than an accounting one.</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1.7  Significance of the Study</w:t>
      </w:r>
    </w:p>
    <w:p>
      <w:pPr>
        <w:pStyle w:val="ListBullet"/>
        <w:spacing w:before="0" w:after="90" w:line="264" w:lineRule="auto"/>
        <w:ind w:left="360" w:right="0" w:hanging="220"/>
        <w:jc w:val="both"/>
      </w:pPr>
      <w:r>
        <w:rPr>
          <w:rFonts w:ascii="Times New Roman" w:hAnsi="Times New Roman" w:cs="Times New Roman"/>
          <w:b/>
          <w:color w:val="1A1A1A"/>
          <w:sz w:val="21"/>
          <w:szCs w:val="21"/>
        </w:rPr>
        <w:t xml:space="preserve">To the organisation</w:t>
      </w:r>
      <w:r>
        <w:rPr>
          <w:rFonts w:ascii="Times New Roman" w:hAnsi="Times New Roman" w:cs="Times New Roman"/>
          <w:color w:val="1A1A1A"/>
          <w:sz w:val="21"/>
          <w:szCs w:val="21"/>
        </w:rPr>
        <w:t xml:space="preserve">, the study offers an independent reading of its own numbers, a quantified variance analysis it did not previously prepare monthly, and a short list of improvements that require system discipline rather than capital.</w:t>
      </w:r>
    </w:p>
    <w:p>
      <w:pPr>
        <w:pStyle w:val="ListBullet"/>
        <w:spacing w:before="0" w:after="90" w:line="264" w:lineRule="auto"/>
        <w:ind w:left="360" w:right="0" w:hanging="220"/>
        <w:jc w:val="both"/>
      </w:pPr>
      <w:r>
        <w:rPr>
          <w:rFonts w:ascii="Times New Roman" w:hAnsi="Times New Roman" w:cs="Times New Roman"/>
          <w:b/>
          <w:color w:val="1A1A1A"/>
          <w:sz w:val="21"/>
          <w:szCs w:val="21"/>
        </w:rPr>
        <w:t xml:space="preserve">To the student</w:t>
      </w:r>
      <w:r>
        <w:rPr>
          <w:rFonts w:ascii="Times New Roman" w:hAnsi="Times New Roman" w:cs="Times New Roman"/>
          <w:color w:val="1A1A1A"/>
          <w:sz w:val="21"/>
          <w:szCs w:val="21"/>
        </w:rPr>
        <w:t xml:space="preserve">, it provides the experience of building an analysis from primary records rather than from a prepared case, including the discovery that records are rarely as tidy as textbook illustrations.</w:t>
      </w:r>
    </w:p>
    <w:p>
      <w:pPr>
        <w:pStyle w:val="ListBullet"/>
        <w:spacing w:before="0" w:after="90" w:line="264" w:lineRule="auto"/>
        <w:ind w:left="360" w:right="0" w:hanging="220"/>
        <w:jc w:val="both"/>
      </w:pPr>
      <w:r>
        <w:rPr>
          <w:rFonts w:ascii="Times New Roman" w:hAnsi="Times New Roman" w:cs="Times New Roman"/>
          <w:b/>
          <w:color w:val="1A1A1A"/>
          <w:sz w:val="21"/>
          <w:szCs w:val="21"/>
        </w:rPr>
        <w:t xml:space="preserve">To the institution</w:t>
      </w:r>
      <w:r>
        <w:rPr>
          <w:rFonts w:ascii="Times New Roman" w:hAnsi="Times New Roman" w:cs="Times New Roman"/>
          <w:color w:val="1A1A1A"/>
          <w:sz w:val="21"/>
          <w:szCs w:val="21"/>
        </w:rPr>
        <w:t xml:space="preserve">, it documents the kind of financial work a small enterprise in Bihar's emerging services sector actually requires, which may inform the design of future internships.</w:t>
      </w:r>
    </w:p>
    <w:p>
      <w:pPr>
        <w:pStyle w:val="ListBullet"/>
        <w:spacing w:before="0" w:after="90" w:line="264" w:lineRule="auto"/>
        <w:ind w:left="360" w:right="0" w:hanging="220"/>
        <w:jc w:val="both"/>
      </w:pPr>
      <w:r>
        <w:rPr>
          <w:rFonts w:ascii="Times New Roman" w:hAnsi="Times New Roman" w:cs="Times New Roman"/>
          <w:b/>
          <w:color w:val="1A1A1A"/>
          <w:sz w:val="21"/>
          <w:szCs w:val="21"/>
        </w:rPr>
        <w:t xml:space="preserve">To future researchers</w:t>
      </w:r>
      <w:r>
        <w:rPr>
          <w:rFonts w:ascii="Times New Roman" w:hAnsi="Times New Roman" w:cs="Times New Roman"/>
          <w:color w:val="1A1A1A"/>
          <w:sz w:val="21"/>
          <w:szCs w:val="21"/>
        </w:rPr>
        <w:t xml:space="preserve">, it offers a template for analysing an asset-light, seasonal services business in which the conventional liquidity benchmarks require careful qualification.</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1.8  Limitations of the Study</w:t>
      </w:r>
    </w:p>
    <w:p>
      <w:pPr>
        <w:spacing w:before="0" w:after="130" w:line="264" w:lineRule="auto"/>
        <w:jc w:val="both"/>
      </w:pPr>
      <w:r>
        <w:rPr>
          <w:rFonts w:ascii="Times New Roman" w:hAnsi="Times New Roman" w:cs="Times New Roman"/>
          <w:color w:val="1A1A1A"/>
          <w:sz w:val="21"/>
          <w:szCs w:val="21"/>
        </w:rPr>
        <w:t xml:space="preserve">The following limitations are material and should be kept in view when reading the findings of Chapter Nine.</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1.</w:t>
      </w:r>
      <w:r>
        <w:tab/>
      </w:r>
      <w:r>
        <w:rPr>
          <w:rFonts w:ascii="Times New Roman" w:hAnsi="Times New Roman" w:cs="Times New Roman"/>
          <w:b/>
          <w:color w:val="1A1A1A"/>
          <w:sz w:val="21"/>
          <w:szCs w:val="21"/>
        </w:rPr>
        <w:t xml:space="preserve">The figures are indicative, not audited.</w:t>
      </w:r>
      <w:r>
        <w:rPr>
          <w:rFonts w:ascii="Times New Roman" w:hAnsi="Times New Roman" w:cs="Times New Roman"/>
          <w:color w:val="1A1A1A"/>
          <w:sz w:val="21"/>
          <w:szCs w:val="21"/>
        </w:rPr>
        <w:t xml:space="preserve"> The financial data was made available as management information for the limited purpose of academic analysis. It has not been subjected to statutory audit, and the analysis therefore constitutes an exercise in method rather than an opinion on the accounts.</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2.</w:t>
      </w:r>
      <w:r>
        <w:tab/>
      </w:r>
      <w:r>
        <w:rPr>
          <w:rFonts w:ascii="Times New Roman" w:hAnsi="Times New Roman" w:cs="Times New Roman"/>
          <w:b/>
          <w:color w:val="1A1A1A"/>
          <w:sz w:val="21"/>
          <w:szCs w:val="21"/>
        </w:rPr>
        <w:t xml:space="preserve">The period of observation was short.</w:t>
      </w:r>
      <w:r>
        <w:rPr>
          <w:rFonts w:ascii="Times New Roman" w:hAnsi="Times New Roman" w:cs="Times New Roman"/>
          <w:color w:val="1A1A1A"/>
          <w:sz w:val="21"/>
          <w:szCs w:val="21"/>
        </w:rPr>
        <w:t xml:space="preserve"> 46 Days spanning a single peak season cannot capture the full annual cycle of a seasonal business. The seasonality described in Chapter Four is inferred from recorded quarterly figures rather than observed.</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3.</w:t>
      </w:r>
      <w:r>
        <w:tab/>
      </w:r>
      <w:r>
        <w:rPr>
          <w:rFonts w:ascii="Times New Roman" w:hAnsi="Times New Roman" w:cs="Times New Roman"/>
          <w:b/>
          <w:color w:val="1A1A1A"/>
          <w:sz w:val="21"/>
          <w:szCs w:val="21"/>
        </w:rPr>
        <w:t xml:space="preserve">Comparison with industry averages was not possible.</w:t>
      </w:r>
      <w:r>
        <w:rPr>
          <w:rFonts w:ascii="Times New Roman" w:hAnsi="Times New Roman" w:cs="Times New Roman"/>
          <w:color w:val="1A1A1A"/>
          <w:sz w:val="21"/>
          <w:szCs w:val="21"/>
        </w:rPr>
        <w:t xml:space="preserve"> Reliable published financial benchmarks for unlisted, small-scale structured internship providers are not available in India. Interpretation has therefore been made against conventional rules of thumb and against the organisation's own history, and the rules of thumb are not industry averages.</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4.</w:t>
      </w:r>
      <w:r>
        <w:tab/>
      </w:r>
      <w:r>
        <w:rPr>
          <w:rFonts w:ascii="Times New Roman" w:hAnsi="Times New Roman" w:cs="Times New Roman"/>
          <w:b/>
          <w:color w:val="1A1A1A"/>
          <w:sz w:val="21"/>
          <w:szCs w:val="21"/>
        </w:rPr>
        <w:t xml:space="preserve">Certain cost allocations required judgement.</w:t>
      </w:r>
      <w:r>
        <w:rPr>
          <w:rFonts w:ascii="Times New Roman" w:hAnsi="Times New Roman" w:cs="Times New Roman"/>
          <w:color w:val="1A1A1A"/>
          <w:sz w:val="21"/>
          <w:szCs w:val="21"/>
        </w:rPr>
        <w:t xml:space="preserve"> The segregation of semi-variable costs in Chapter Five — particularly the split of marketing and of administrative expenses — rests on discussion with management and on the observed behaviour of those heads, not on a statistical regression. A different analyst might allocate slightly differently and would obtain a slightly different break-even point.</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5.</w:t>
      </w:r>
      <w:r>
        <w:tab/>
      </w:r>
      <w:r>
        <w:rPr>
          <w:rFonts w:ascii="Times New Roman" w:hAnsi="Times New Roman" w:cs="Times New Roman"/>
          <w:b/>
          <w:color w:val="1A1A1A"/>
          <w:sz w:val="21"/>
          <w:szCs w:val="21"/>
        </w:rPr>
        <w:t xml:space="preserve">Confidentiality constrained disclosure.</w:t>
      </w:r>
      <w:r>
        <w:rPr>
          <w:rFonts w:ascii="Times New Roman" w:hAnsi="Times New Roman" w:cs="Times New Roman"/>
          <w:color w:val="1A1A1A"/>
          <w:sz w:val="21"/>
          <w:szCs w:val="21"/>
        </w:rPr>
        <w:t xml:space="preserve"> Client-wise and cohort-wise data has been aggregated. Individual contract terms, mentor rates and client names are not disclosed.</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6.</w:t>
      </w:r>
      <w:r>
        <w:tab/>
      </w:r>
      <w:r>
        <w:rPr>
          <w:rFonts w:ascii="Times New Roman" w:hAnsi="Times New Roman" w:cs="Times New Roman"/>
          <w:b/>
          <w:color w:val="1A1A1A"/>
          <w:sz w:val="21"/>
          <w:szCs w:val="21"/>
        </w:rPr>
        <w:t xml:space="preserve">Ratios computed on closing balances have a known bias.</w:t>
      </w:r>
      <w:r>
        <w:rPr>
          <w:rFonts w:ascii="Times New Roman" w:hAnsi="Times New Roman" w:cs="Times New Roman"/>
          <w:color w:val="1A1A1A"/>
          <w:sz w:val="21"/>
          <w:szCs w:val="21"/>
        </w:rPr>
        <w:t xml:space="preserve"> Return on equity and return on capital employed have been computed on closing figures. In a rapidly growing business this understates the return, because the closing capital base is larger than the base that actually earned the year's profit. The direction of the bias is stated wherever it is material.</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1.9  Chapter Scheme</w:t>
      </w:r>
    </w:p>
    <w:p>
      <w:pPr>
        <w:keepNext/>
        <w:keepLines/>
        <w:spacing w:before="220" w:after="60"/>
      </w:pPr>
      <w:r>
        <w:rPr>
          <w:rFonts w:ascii="Arial" w:hAnsi="Arial" w:cs="Arial"/>
          <w:b/>
          <w:color w:val="E87A1E"/>
          <w:sz w:val="19"/>
          <w:szCs w:val="19"/>
        </w:rPr>
        <w:t xml:space="preserve">Table 1.2  </w:t>
      </w:r>
      <w:r>
        <w:rPr>
          <w:rFonts w:ascii="Arial" w:hAnsi="Arial" w:cs="Arial"/>
          <w:b/>
          <w:color w:val="122F5C"/>
          <w:sz w:val="19"/>
          <w:szCs w:val="19"/>
        </w:rPr>
        <w:t xml:space="preserve">Organisation of the report</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1154"/>
        <w:gridCol w:w="2885"/>
        <w:gridCol w:w="5579"/>
      </w:tblGrid>
      <w:tr>
        <w:trPr>
          <w:cantSplit/>
          <w:tblHeader/>
        </w:trPr>
        <w:tc>
          <w:tcPr>
            <w:tcW w:w="1154" w:type="dxa"/>
            <w:shd w:val="clear" w:color="auto" w:fill="122F5C"/>
            <w:vAlign w:val="center"/>
          </w:tcPr>
          <w:p>
            <w:pPr>
              <w:spacing w:before="0" w:after="0"/>
              <w:jc w:val="center"/>
            </w:pPr>
            <w:r>
              <w:rPr>
                <w:rFonts w:ascii="Arial" w:hAnsi="Arial" w:cs="Arial"/>
                <w:b/>
                <w:color w:val="FFFFFF"/>
                <w:sz w:val="17"/>
                <w:szCs w:val="17"/>
              </w:rPr>
              <w:t xml:space="preserve">Chapter</w:t>
            </w:r>
          </w:p>
        </w:tc>
        <w:tc>
          <w:tcPr>
            <w:tcW w:w="2885" w:type="dxa"/>
            <w:shd w:val="clear" w:color="auto" w:fill="122F5C"/>
            <w:vAlign w:val="center"/>
          </w:tcPr>
          <w:p>
            <w:pPr>
              <w:spacing w:before="0" w:after="0"/>
              <w:jc w:val="left"/>
            </w:pPr>
            <w:r>
              <w:rPr>
                <w:rFonts w:ascii="Arial" w:hAnsi="Arial" w:cs="Arial"/>
                <w:b/>
                <w:color w:val="FFFFFF"/>
                <w:sz w:val="17"/>
                <w:szCs w:val="17"/>
              </w:rPr>
              <w:t xml:space="preserve">Title</w:t>
            </w:r>
          </w:p>
        </w:tc>
        <w:tc>
          <w:tcPr>
            <w:tcW w:w="5579" w:type="dxa"/>
            <w:shd w:val="clear" w:color="auto" w:fill="122F5C"/>
            <w:vAlign w:val="center"/>
          </w:tcPr>
          <w:p>
            <w:pPr>
              <w:spacing w:before="0" w:after="0"/>
              <w:jc w:val="left"/>
            </w:pPr>
            <w:r>
              <w:rPr>
                <w:rFonts w:ascii="Arial" w:hAnsi="Arial" w:cs="Arial"/>
                <w:b/>
                <w:color w:val="FFFFFF"/>
                <w:sz w:val="17"/>
                <w:szCs w:val="17"/>
              </w:rPr>
              <w:t xml:space="preserve">Content</w:t>
            </w:r>
          </w:p>
        </w:tc>
      </w:tr>
      <w:tr>
        <w:trPr>
          <w:cantSplit/>
        </w:trPr>
        <w:tc>
          <w:tcPr>
            <w:tcW w:w="115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One</w:t>
            </w:r>
          </w:p>
        </w:tc>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Introduction</w:t>
            </w:r>
          </w:p>
        </w:tc>
        <w:tc>
          <w:tcPr>
            <w:tcW w:w="5579"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Background, rationale, problem, objectives, scope, methodology, significance and limitations</w:t>
            </w:r>
          </w:p>
        </w:tc>
      </w:tr>
      <w:tr>
        <w:trPr>
          <w:cantSplit/>
        </w:trPr>
        <w:tc>
          <w:tcPr>
            <w:tcW w:w="1154"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7"/>
                <w:szCs w:val="17"/>
              </w:rPr>
              <w:t xml:space="preserve">Two</w:t>
            </w:r>
          </w:p>
        </w:tc>
        <w:tc>
          <w:tcPr>
            <w:tcW w:w="288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Company Profile</w:t>
            </w:r>
          </w:p>
        </w:tc>
        <w:tc>
          <w:tcPr>
            <w:tcW w:w="5579"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Constitution, history, service lines, organisation structure, finance function, competitive position and SWOT appraisal</w:t>
            </w:r>
          </w:p>
        </w:tc>
      </w:tr>
      <w:tr>
        <w:trPr>
          <w:cantSplit/>
        </w:trPr>
        <w:tc>
          <w:tcPr>
            <w:tcW w:w="115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Three</w:t>
            </w:r>
          </w:p>
        </w:tc>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Internship Tasks</w:t>
            </w:r>
          </w:p>
        </w:tc>
        <w:tc>
          <w:tcPr>
            <w:tcW w:w="5579"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Week-by-week record of work performed, deliverables produced and skills applied</w:t>
            </w:r>
          </w:p>
        </w:tc>
      </w:tr>
      <w:tr>
        <w:trPr>
          <w:cantSplit/>
        </w:trPr>
        <w:tc>
          <w:tcPr>
            <w:tcW w:w="1154"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7"/>
                <w:szCs w:val="17"/>
              </w:rPr>
              <w:t xml:space="preserve">Four</w:t>
            </w:r>
          </w:p>
        </w:tc>
        <w:tc>
          <w:tcPr>
            <w:tcW w:w="288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Financial Management Analysis</w:t>
            </w:r>
          </w:p>
        </w:tc>
        <w:tc>
          <w:tcPr>
            <w:tcW w:w="5579"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Revenue and cost structure, profitability, working capital, cash flow and the pattern of financing</w:t>
            </w:r>
          </w:p>
        </w:tc>
      </w:tr>
      <w:tr>
        <w:trPr>
          <w:cantSplit/>
        </w:trPr>
        <w:tc>
          <w:tcPr>
            <w:tcW w:w="115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Five</w:t>
            </w:r>
          </w:p>
        </w:tc>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Budgeting and Cost Control</w:t>
            </w:r>
          </w:p>
        </w:tc>
        <w:tc>
          <w:tcPr>
            <w:tcW w:w="5579"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The budget cycle, budget-versus-actual variance analysis, cost behaviour, break-even analysis and leverage</w:t>
            </w:r>
          </w:p>
        </w:tc>
      </w:tr>
      <w:tr>
        <w:trPr>
          <w:cantSplit/>
        </w:trPr>
        <w:tc>
          <w:tcPr>
            <w:tcW w:w="1154"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7"/>
                <w:szCs w:val="17"/>
              </w:rPr>
              <w:t xml:space="preserve">Six</w:t>
            </w:r>
          </w:p>
        </w:tc>
        <w:tc>
          <w:tcPr>
            <w:tcW w:w="288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Ratio and Financial Analysis</w:t>
            </w:r>
          </w:p>
        </w:tc>
        <w:tc>
          <w:tcPr>
            <w:tcW w:w="5579"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Liquidity, profitability, solvency and activity ratios, common-size statements and DuPont decomposition</w:t>
            </w:r>
          </w:p>
        </w:tc>
      </w:tr>
      <w:tr>
        <w:trPr>
          <w:cantSplit/>
        </w:trPr>
        <w:tc>
          <w:tcPr>
            <w:tcW w:w="115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Seven</w:t>
            </w:r>
          </w:p>
        </w:tc>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Learning Outcomes</w:t>
            </w:r>
          </w:p>
        </w:tc>
        <w:tc>
          <w:tcPr>
            <w:tcW w:w="5579"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Technical, analytical, behavioural and professional learning, mapped to the objectives of Chapter One</w:t>
            </w:r>
          </w:p>
        </w:tc>
      </w:tr>
      <w:tr>
        <w:trPr>
          <w:cantSplit/>
        </w:trPr>
        <w:tc>
          <w:tcPr>
            <w:tcW w:w="1154"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7"/>
                <w:szCs w:val="17"/>
              </w:rPr>
              <w:t xml:space="preserve">Eight</w:t>
            </w:r>
          </w:p>
        </w:tc>
        <w:tc>
          <w:tcPr>
            <w:tcW w:w="288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Challenges Faced</w:t>
            </w:r>
          </w:p>
        </w:tc>
        <w:tc>
          <w:tcPr>
            <w:tcW w:w="5579"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Difficulties encountered, how each was addressed and what it taught</w:t>
            </w:r>
          </w:p>
        </w:tc>
      </w:tr>
      <w:tr>
        <w:trPr>
          <w:cantSplit/>
        </w:trPr>
        <w:tc>
          <w:tcPr>
            <w:tcW w:w="115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Nine</w:t>
            </w:r>
          </w:p>
        </w:tc>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Findings and Suggestions</w:t>
            </w:r>
          </w:p>
        </w:tc>
        <w:tc>
          <w:tcPr>
            <w:tcW w:w="5579"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Consolidated findings and specific, prioritised recommendations</w:t>
            </w:r>
          </w:p>
        </w:tc>
      </w:tr>
      <w:tr>
        <w:trPr>
          <w:cantSplit/>
        </w:trPr>
        <w:tc>
          <w:tcPr>
            <w:tcW w:w="1154"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7"/>
                <w:szCs w:val="17"/>
              </w:rPr>
              <w:t xml:space="preserve">Ten</w:t>
            </w:r>
          </w:p>
        </w:tc>
        <w:tc>
          <w:tcPr>
            <w:tcW w:w="288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Conclusion</w:t>
            </w:r>
          </w:p>
        </w:tc>
        <w:tc>
          <w:tcPr>
            <w:tcW w:w="5579"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Overall appraisal and concluding observations</w:t>
            </w:r>
          </w:p>
        </w:tc>
      </w:tr>
      <w:tr>
        <w:trPr>
          <w:cantSplit/>
        </w:trPr>
        <w:tc>
          <w:tcPr>
            <w:tcW w:w="115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w:t>
            </w:r>
          </w:p>
        </w:tc>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Bibliography and Annexures</w:t>
            </w:r>
          </w:p>
        </w:tc>
        <w:tc>
          <w:tcPr>
            <w:tcW w:w="5579"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Sources consulted and supporting statements, questionnaire and certificates</w:t>
            </w:r>
          </w:p>
        </w:tc>
      </w:tr>
    </w:tbl>
    <w:p>
      <w:pPr>
        <w:spacing w:before="0" w:after="0"/>
      </w:pPr>
      <w:r>
        <w:rPr>
          <w:sz w:val="16"/>
        </w:rPr>
        <w:t/>
      </w:r>
    </w:p>
    <w:p>
      <w:r>
        <w:br w:type="page"/>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0" w:type="dxa"/>
          <w:left w:w="160" w:type="dxa"/>
          <w:bottom w:w="140" w:type="dxa"/>
          <w:right w:w="120" w:type="dxa"/>
        </w:tblCellMar>
      </w:tblPr>
      <w:tblGrid>
        <w:gridCol w:w="1731"/>
        <w:gridCol w:w="7887"/>
      </w:tblGrid>
      <w:tr>
        <w:trPr>
          <w:cantSplit/>
        </w:trPr>
        <w:tc>
          <w:tcPr>
            <w:tcW w:w="1731" w:type="dxa"/>
            <w:shd w:val="clear" w:color="auto" w:fill="122F5C"/>
            <w:vAlign w:val="center"/>
          </w:tcPr>
          <w:p>
            <w:pPr>
              <w:spacing w:before="0" w:after="20"/>
            </w:pPr>
            <w:r>
              <w:rPr>
                <w:rFonts w:ascii="Arial" w:hAnsi="Arial" w:cs="Arial"/>
                <w:b/>
                <w:color w:val="4F9EE3"/>
                <w:spacing w:val="60"/>
                <w:sz w:val="16"/>
                <w:szCs w:val="16"/>
              </w:rPr>
              <w:t xml:space="preserve">CHAPTER</w:t>
            </w:r>
          </w:p>
          <w:p>
            <w:pPr>
              <w:spacing w:before="0" w:after="0"/>
            </w:pPr>
            <w:r>
              <w:rPr>
                <w:rFonts w:ascii="Arial" w:hAnsi="Arial" w:cs="Arial"/>
                <w:b/>
                <w:color w:val="E87A1E"/>
                <w:sz w:val="62"/>
                <w:szCs w:val="62"/>
              </w:rPr>
              <w:t xml:space="preserve">2</w:t>
            </w:r>
          </w:p>
        </w:tc>
        <w:tc>
          <w:tcPr>
            <w:tcW w:w="7887" w:type="dxa"/>
            <w:shd w:val="clear" w:color="auto" w:fill="122F5C"/>
            <w:vAlign w:val="center"/>
          </w:tcPr>
          <w:p>
            <w:pPr>
              <w:spacing w:before="60" w:after="0"/>
            </w:pPr>
            <w:r>
              <w:rPr>
                <w:rFonts w:ascii="Arial" w:hAnsi="Arial" w:cs="Arial"/>
                <w:b/>
                <w:color w:val="FFFFFF"/>
                <w:sz w:val="38"/>
                <w:szCs w:val="38"/>
              </w:rPr>
              <w:t xml:space="preserve">COMPANY PROFILE</w:t>
            </w:r>
          </w:p>
        </w:tc>
      </w:tr>
    </w:tbl>
    <w:p>
      <w:pPr>
        <w:pBdr>
          <w:bottom w:val="single" w:sz="18" w:space="2" w:color="E87A1E"/>
        </w:pBdr>
        <w:spacing w:before="0" w:after="0"/>
      </w:pPr>
    </w:p>
    <w:p>
      <w:pPr>
        <w:spacing w:before="140" w:after="160" w:line="280" w:lineRule="auto"/>
        <w:jc w:val="both"/>
      </w:pPr>
      <w:r>
        <w:rPr>
          <w:rFonts w:ascii="Times New Roman" w:hAnsi="Times New Roman" w:cs="Times New Roman"/>
          <w:i/>
          <w:color w:val="444A55"/>
          <w:sz w:val="21"/>
          <w:szCs w:val="21"/>
        </w:rPr>
        <w:t xml:space="preserve">The constitution, service lines, organisation and competitive position of Infinity Interns, and the structure of its finance function.</w:t>
      </w:r>
    </w:p>
    <w:p>
      <w:pPr>
        <w:spacing w:before="80" w:after="80"/>
        <w:jc w:val="center"/>
      </w:pPr>
      <w:r>
        <w:drawing>
          <wp:inline distT="0" distB="0" distL="0" distR="0">
            <wp:extent cx="3103880" cy="1614017"/>
            <wp:docPr id="2" name="Picture 2"/>
            <a:graphic>
              <a:graphicData uri="http://schemas.openxmlformats.org/drawingml/2006/picture">
                <pic:pic>
                  <pic:nvPicPr>
                    <pic:cNvPr id="2" name="logo_lockup.png"/>
                    <pic:cNvPicPr/>
                  </pic:nvPicPr>
                  <pic:blipFill>
                    <a:blip r:embed="rId101"/>
                    <a:stretch>
                      <a:fillRect/>
                    </a:stretch>
                  </pic:blipFill>
                  <pic:spPr>
                    <a:xfrm>
                      <a:off x="0" y="0"/>
                      <a:ext cx="3103880" cy="1614017"/>
                    </a:xfrm>
                    <a:prstGeom prst="rect">
                      <a:avLst/>
                    </a:prstGeom>
                  </pic:spPr>
                </pic:pic>
              </a:graphicData>
            </a:graphic>
          </wp:inline>
        </w:drawing>
      </w:r>
    </w:p>
    <w:p>
      <w:pPr>
        <w:spacing w:before="0" w:after="0"/>
      </w:pPr>
      <w:r>
        <w:rPr>
          <w:sz w:val="6"/>
        </w:rPr>
        <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2.1  Identity and Constitution</w:t>
      </w:r>
    </w:p>
    <w:p>
      <w:pPr>
        <w:spacing w:before="0" w:after="130" w:line="264" w:lineRule="auto"/>
        <w:jc w:val="both"/>
      </w:pPr>
      <w:r>
        <w:rPr>
          <w:rFonts w:ascii="Times New Roman" w:hAnsi="Times New Roman" w:cs="Times New Roman"/>
          <w:color w:val="1A1A1A"/>
          <w:sz w:val="21"/>
          <w:szCs w:val="21"/>
        </w:rPr>
        <w:t xml:space="preserve">Infinity Interns is the internship and career-services brand under which Infinitya1 Career Counselling Private Limited operates. The distinction between the brand and the legal entity matters for a financial report: contracts, statutory filings and the financial statements analysed in this study belong to the company, while the brand is the name under which programmes are marketed to students and institutions.</w:t>
      </w:r>
    </w:p>
    <w:p>
      <w:pPr>
        <w:keepNext/>
        <w:keepLines/>
        <w:spacing w:before="220" w:after="60"/>
      </w:pPr>
      <w:r>
        <w:rPr>
          <w:rFonts w:ascii="Arial" w:hAnsi="Arial" w:cs="Arial"/>
          <w:b/>
          <w:color w:val="E87A1E"/>
          <w:sz w:val="19"/>
          <w:szCs w:val="19"/>
        </w:rPr>
        <w:t xml:space="preserve">Table 2.1  </w:t>
      </w:r>
      <w:r>
        <w:rPr>
          <w:rFonts w:ascii="Arial" w:hAnsi="Arial" w:cs="Arial"/>
          <w:b/>
          <w:color w:val="122F5C"/>
          <w:sz w:val="19"/>
          <w:szCs w:val="19"/>
        </w:rPr>
        <w:t xml:space="preserve">Organisational particulars</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3270"/>
        <w:gridCol w:w="6348"/>
      </w:tblGrid>
      <w:tr>
        <w:trPr>
          <w:cantSplit/>
          <w:tblHeader/>
        </w:trPr>
        <w:tc>
          <w:tcPr>
            <w:tcW w:w="3270" w:type="dxa"/>
            <w:shd w:val="clear" w:color="auto" w:fill="122F5C"/>
            <w:vAlign w:val="center"/>
          </w:tcPr>
          <w:p>
            <w:pPr>
              <w:spacing w:before="0" w:after="0"/>
              <w:jc w:val="left"/>
            </w:pPr>
            <w:r>
              <w:rPr>
                <w:rFonts w:ascii="Arial" w:hAnsi="Arial" w:cs="Arial"/>
                <w:b/>
                <w:color w:val="FFFFFF"/>
                <w:sz w:val="18"/>
                <w:szCs w:val="18"/>
              </w:rPr>
              <w:t xml:space="preserve">Particulars</w:t>
            </w:r>
          </w:p>
        </w:tc>
        <w:tc>
          <w:tcPr>
            <w:tcW w:w="6348" w:type="dxa"/>
            <w:shd w:val="clear" w:color="auto" w:fill="122F5C"/>
            <w:vAlign w:val="center"/>
          </w:tcPr>
          <w:p>
            <w:pPr>
              <w:spacing w:before="0" w:after="0"/>
              <w:jc w:val="left"/>
            </w:pPr>
            <w:r>
              <w:rPr>
                <w:rFonts w:ascii="Arial" w:hAnsi="Arial" w:cs="Arial"/>
                <w:b/>
                <w:color w:val="FFFFFF"/>
                <w:sz w:val="18"/>
                <w:szCs w:val="18"/>
              </w:rPr>
              <w:t xml:space="preserve">Details</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Brand name</w:t>
            </w:r>
          </w:p>
        </w:tc>
        <w:tc>
          <w:tcPr>
            <w:tcW w:w="634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Infinity Interns</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Registered name</w:t>
            </w:r>
          </w:p>
        </w:tc>
        <w:tc>
          <w:tcPr>
            <w:tcW w:w="634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Infinitya1 Career Counselling Private Limited</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Constitution</w:t>
            </w:r>
          </w:p>
        </w:tc>
        <w:tc>
          <w:tcPr>
            <w:tcW w:w="634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Private Limited Company, incorporated under the Companies Act, 2013</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Nature of business</w:t>
            </w:r>
          </w:p>
        </w:tc>
        <w:tc>
          <w:tcPr>
            <w:tcW w:w="634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Career counselling, structured internship programmes, skill certification and employability services</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Registered office</w:t>
            </w:r>
          </w:p>
        </w:tc>
        <w:tc>
          <w:tcPr>
            <w:tcW w:w="634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B-Hub, Maurya Lok Complex, Dak Bungalow Road, Patna, Bihar 800001</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Operating facility</w:t>
            </w:r>
          </w:p>
        </w:tc>
        <w:tc>
          <w:tcPr>
            <w:tcW w:w="634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B-Hub, the startup incubation centre promoted at Maurya Lok Complex, Dak Bungalow Road, Patna</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Area of operation</w:t>
            </w:r>
          </w:p>
        </w:tc>
        <w:tc>
          <w:tcPr>
            <w:tcW w:w="634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Bihar, with online delivery to candidates across India</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Principal clients</w:t>
            </w:r>
          </w:p>
        </w:tc>
        <w:tc>
          <w:tcPr>
            <w:tcW w:w="634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Students of graduate and postgraduate programmes; colleges and universities; small and medium employers</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Service delivery mode</w:t>
            </w:r>
          </w:p>
        </w:tc>
        <w:tc>
          <w:tcPr>
            <w:tcW w:w="634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Blended — online mentoring and assessment with periodic in-person workshops</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Functional departments</w:t>
            </w:r>
          </w:p>
        </w:tc>
        <w:tc>
          <w:tcPr>
            <w:tcW w:w="634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Programme Delivery; Admissions and Counselling; Corporate and Institutional Relations; Finance and Accounts; Technology and Content</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Compiled from organisational records and discussions with management during the internship.</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2.2  The B-Hub Setting</w:t>
      </w:r>
    </w:p>
    <w:p>
      <w:pPr>
        <w:spacing w:before="0" w:after="130" w:line="264" w:lineRule="auto"/>
        <w:jc w:val="both"/>
      </w:pPr>
      <w:r>
        <w:rPr>
          <w:rFonts w:ascii="Times New Roman" w:hAnsi="Times New Roman" w:cs="Times New Roman"/>
          <w:color w:val="1A1A1A"/>
          <w:sz w:val="21"/>
          <w:szCs w:val="21"/>
        </w:rPr>
        <w:t xml:space="preserve">The organisation operates from B-Hub, the startup incubation facility at Maurya Lok Complex in central Patna. The choice of an incubation centre rather than independent commercial premises has a direct and favourable effect on the financial structure of the business, and it is worth stating explicitly because it explains part of the cost advantage visible in Chapter Four.</w:t>
      </w:r>
    </w:p>
    <w:p>
      <w:pPr>
        <w:pStyle w:val="ListBullet"/>
        <w:spacing w:before="0" w:after="90" w:line="264" w:lineRule="auto"/>
        <w:ind w:left="360" w:right="0" w:hanging="220"/>
        <w:jc w:val="both"/>
      </w:pPr>
      <w:r>
        <w:rPr>
          <w:rFonts w:ascii="Times New Roman" w:hAnsi="Times New Roman" w:cs="Times New Roman"/>
          <w:b/>
          <w:color w:val="1A1A1A"/>
          <w:sz w:val="21"/>
          <w:szCs w:val="21"/>
        </w:rPr>
        <w:t xml:space="preserve">Occupancy cost is contained.</w:t>
      </w:r>
      <w:r>
        <w:rPr>
          <w:rFonts w:ascii="Times New Roman" w:hAnsi="Times New Roman" w:cs="Times New Roman"/>
          <w:color w:val="1A1A1A"/>
          <w:sz w:val="21"/>
          <w:szCs w:val="21"/>
        </w:rPr>
        <w:t xml:space="preserve"> Incubation charges are materially below the commercial rent for equivalent space in the same locality, which holds down the largest single component of committed overhead for a service business of this size.</w:t>
      </w:r>
    </w:p>
    <w:p>
      <w:pPr>
        <w:pStyle w:val="ListBullet"/>
        <w:spacing w:before="0" w:after="90" w:line="264" w:lineRule="auto"/>
        <w:ind w:left="360" w:right="0" w:hanging="220"/>
        <w:jc w:val="both"/>
      </w:pPr>
      <w:r>
        <w:rPr>
          <w:rFonts w:ascii="Times New Roman" w:hAnsi="Times New Roman" w:cs="Times New Roman"/>
          <w:b/>
          <w:color w:val="1A1A1A"/>
          <w:sz w:val="21"/>
          <w:szCs w:val="21"/>
        </w:rPr>
        <w:t xml:space="preserve">Shared infrastructure avoids capital expenditure.</w:t>
      </w:r>
      <w:r>
        <w:rPr>
          <w:rFonts w:ascii="Times New Roman" w:hAnsi="Times New Roman" w:cs="Times New Roman"/>
          <w:color w:val="1A1A1A"/>
          <w:sz w:val="21"/>
          <w:szCs w:val="21"/>
        </w:rPr>
        <w:t xml:space="preserve"> Conference facilities, reception and internet backbone are shared, so the organisation has not had to capitalise assets it would use intermittently. This is visible in the modest property, plant and equipment balance of ₹ 13.20 lakh.</w:t>
      </w:r>
    </w:p>
    <w:p>
      <w:pPr>
        <w:pStyle w:val="ListBullet"/>
        <w:spacing w:before="0" w:after="90" w:line="264" w:lineRule="auto"/>
        <w:ind w:left="360" w:right="0" w:hanging="220"/>
        <w:jc w:val="both"/>
      </w:pPr>
      <w:r>
        <w:rPr>
          <w:rFonts w:ascii="Times New Roman" w:hAnsi="Times New Roman" w:cs="Times New Roman"/>
          <w:b/>
          <w:color w:val="1A1A1A"/>
          <w:sz w:val="21"/>
          <w:szCs w:val="21"/>
        </w:rPr>
        <w:t xml:space="preserve">Central location supports the counselling business.</w:t>
      </w:r>
      <w:r>
        <w:rPr>
          <w:rFonts w:ascii="Times New Roman" w:hAnsi="Times New Roman" w:cs="Times New Roman"/>
          <w:color w:val="1A1A1A"/>
          <w:sz w:val="21"/>
          <w:szCs w:val="21"/>
        </w:rPr>
        <w:t xml:space="preserve"> Maurya Lok is served by public transport and is within reach of several colleges, which matters for a service that still depends partly on walk-in counselling and in-person workshops.</w:t>
      </w:r>
    </w:p>
    <w:p>
      <w:pPr>
        <w:pStyle w:val="ListBullet"/>
        <w:spacing w:before="0" w:after="90" w:line="264" w:lineRule="auto"/>
        <w:ind w:left="360" w:right="0" w:hanging="220"/>
        <w:jc w:val="both"/>
      </w:pPr>
      <w:r>
        <w:rPr>
          <w:rFonts w:ascii="Times New Roman" w:hAnsi="Times New Roman" w:cs="Times New Roman"/>
          <w:b/>
          <w:color w:val="1A1A1A"/>
          <w:sz w:val="21"/>
          <w:szCs w:val="21"/>
        </w:rPr>
        <w:t xml:space="preserve">Proximity to the startup ecosystem generates referrals.</w:t>
      </w:r>
      <w:r>
        <w:rPr>
          <w:rFonts w:ascii="Times New Roman" w:hAnsi="Times New Roman" w:cs="Times New Roman"/>
          <w:color w:val="1A1A1A"/>
          <w:sz w:val="21"/>
          <w:szCs w:val="21"/>
        </w:rPr>
        <w:t xml:space="preserve"> Co-located ventures are themselves potential employers of interns, which has supported the business-to-business service line at negligible acquisition cost.</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2.3  Vision, Mission and Values</w:t>
      </w:r>
    </w:p>
    <w:p>
      <w:pPr>
        <w:pBdr>
          <w:left w:val="single" w:sz="18" w:space="10" w:color="E87A1E"/>
        </w:pBdr>
        <w:spacing w:before="140" w:after="60" w:line="288" w:lineRule="auto"/>
        <w:ind w:left="420" w:right="300" w:firstLine="0"/>
      </w:pPr>
      <w:r>
        <w:rPr>
          <w:rFonts w:ascii="Times New Roman" w:hAnsi="Times New Roman" w:cs="Times New Roman"/>
          <w:i/>
          <w:color w:val="122F5C"/>
          <w:sz w:val="24"/>
          <w:szCs w:val="24"/>
        </w:rPr>
        <w:t xml:space="preserve">“To make structured, verifiable work experience accessible to every student in Bihar and beyond, so that a candidate is judged on what they can demonstrably do rather than only on what their certificate states.”</w:t>
      </w:r>
    </w:p>
    <w:p>
      <w:pPr>
        <w:spacing w:before="0" w:after="160"/>
        <w:ind w:left="420" w:right="0" w:firstLine="0"/>
      </w:pPr>
      <w:r>
        <w:rPr>
          <w:rFonts w:ascii="Times New Roman" w:hAnsi="Times New Roman" w:cs="Times New Roman"/>
          <w:color w:val="8A919C"/>
          <w:sz w:val="19"/>
          <w:szCs w:val="19"/>
        </w:rPr>
        <w:t xml:space="preserve">— Vision, as articulated by the management</w:t>
      </w:r>
    </w:p>
    <w:p>
      <w:pPr>
        <w:keepNext/>
        <w:keepLines/>
        <w:spacing w:before="200" w:after="80"/>
      </w:pPr>
      <w:r>
        <w:rPr>
          <w:rFonts w:ascii="Arial" w:hAnsi="Arial" w:cs="Arial"/>
          <w:b/>
          <w:color w:val="1B4B8A"/>
          <w:sz w:val="21"/>
          <w:szCs w:val="21"/>
        </w:rPr>
        <w:t xml:space="preserve">Mission</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To design internship programmes with defined deliverables, mentor review and an assessed outcome, rather than unsupervised attendance.</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To provide career counselling grounded in the candidate's aptitude and the realities of the regional labour market.</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To build durable relationships with colleges so that employability support becomes part of the curriculum rather than an event.</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To keep programmes affordable by controlling the cost of delivery rather than by diluting its content.</w:t>
      </w:r>
    </w:p>
    <w:p>
      <w:pPr>
        <w:keepNext/>
        <w:keepLines/>
        <w:spacing w:before="200" w:after="80"/>
      </w:pPr>
      <w:r>
        <w:rPr>
          <w:rFonts w:ascii="Arial" w:hAnsi="Arial" w:cs="Arial"/>
          <w:b/>
          <w:color w:val="1B4B8A"/>
          <w:sz w:val="21"/>
          <w:szCs w:val="21"/>
        </w:rPr>
        <w:t xml:space="preserve">Core Values</w:t>
      </w:r>
    </w:p>
    <w:p>
      <w:pPr>
        <w:keepNext/>
        <w:keepLines/>
        <w:pBdr>
          <w:left w:val="single" w:sz="8" w:space="6" w:color="C8CED6"/>
        </w:pBdr>
        <w:spacing w:before="140" w:after="40"/>
        <w:ind w:left="200" w:right="0" w:firstLine="0"/>
      </w:pPr>
      <w:r>
        <w:rPr>
          <w:rFonts w:ascii="Arial" w:hAnsi="Arial" w:cs="Arial"/>
          <w:b/>
          <w:color w:val="1B4B8A"/>
          <w:sz w:val="19"/>
          <w:szCs w:val="19"/>
        </w:rPr>
        <w:t xml:space="preserve">Verifiability</w:t>
      </w:r>
    </w:p>
    <w:p>
      <w:pPr>
        <w:spacing w:before="0" w:after="120" w:line="264" w:lineRule="auto"/>
        <w:ind w:left="200" w:right="0" w:firstLine="0"/>
        <w:jc w:val="both"/>
      </w:pPr>
      <w:r>
        <w:rPr>
          <w:rFonts w:ascii="Times New Roman" w:hAnsi="Times New Roman" w:cs="Times New Roman"/>
          <w:color w:val="1A1A1A"/>
          <w:sz w:val="21"/>
          <w:szCs w:val="21"/>
        </w:rPr>
        <w:t xml:space="preserve">An outcome that cannot be evidenced is not claimed. Certificates are issued against assessed deliverables.</w:t>
      </w:r>
    </w:p>
    <w:p>
      <w:pPr>
        <w:keepNext/>
        <w:keepLines/>
        <w:pBdr>
          <w:left w:val="single" w:sz="8" w:space="6" w:color="C8CED6"/>
        </w:pBdr>
        <w:spacing w:before="140" w:after="40"/>
        <w:ind w:left="200" w:right="0" w:firstLine="0"/>
      </w:pPr>
      <w:r>
        <w:rPr>
          <w:rFonts w:ascii="Arial" w:hAnsi="Arial" w:cs="Arial"/>
          <w:b/>
          <w:color w:val="1B4B8A"/>
          <w:sz w:val="19"/>
          <w:szCs w:val="19"/>
        </w:rPr>
        <w:t xml:space="preserve">Accessibility</w:t>
      </w:r>
    </w:p>
    <w:p>
      <w:pPr>
        <w:spacing w:before="0" w:after="120" w:line="264" w:lineRule="auto"/>
        <w:ind w:left="200" w:right="0" w:firstLine="0"/>
        <w:jc w:val="both"/>
      </w:pPr>
      <w:r>
        <w:rPr>
          <w:rFonts w:ascii="Times New Roman" w:hAnsi="Times New Roman" w:cs="Times New Roman"/>
          <w:color w:val="1A1A1A"/>
          <w:sz w:val="21"/>
          <w:szCs w:val="21"/>
        </w:rPr>
        <w:t xml:space="preserve">Pricing and delivery are designed for the regional student rather than the metropolitan one.</w:t>
      </w:r>
    </w:p>
    <w:p>
      <w:pPr>
        <w:keepNext/>
        <w:keepLines/>
        <w:pBdr>
          <w:left w:val="single" w:sz="8" w:space="6" w:color="C8CED6"/>
        </w:pBdr>
        <w:spacing w:before="140" w:after="40"/>
        <w:ind w:left="200" w:right="0" w:firstLine="0"/>
      </w:pPr>
      <w:r>
        <w:rPr>
          <w:rFonts w:ascii="Arial" w:hAnsi="Arial" w:cs="Arial"/>
          <w:b/>
          <w:color w:val="1B4B8A"/>
          <w:sz w:val="19"/>
          <w:szCs w:val="19"/>
        </w:rPr>
        <w:t xml:space="preserve">Mentorship</w:t>
      </w:r>
    </w:p>
    <w:p>
      <w:pPr>
        <w:spacing w:before="0" w:after="120" w:line="264" w:lineRule="auto"/>
        <w:ind w:left="200" w:right="0" w:firstLine="0"/>
        <w:jc w:val="both"/>
      </w:pPr>
      <w:r>
        <w:rPr>
          <w:rFonts w:ascii="Times New Roman" w:hAnsi="Times New Roman" w:cs="Times New Roman"/>
          <w:color w:val="1A1A1A"/>
          <w:sz w:val="21"/>
          <w:szCs w:val="21"/>
        </w:rPr>
        <w:t xml:space="preserve">The relationship between mentor and intern is treated as the product, not as an overhead on it.</w:t>
      </w:r>
    </w:p>
    <w:p>
      <w:pPr>
        <w:keepNext/>
        <w:keepLines/>
        <w:pBdr>
          <w:left w:val="single" w:sz="8" w:space="6" w:color="C8CED6"/>
        </w:pBdr>
        <w:spacing w:before="140" w:after="40"/>
        <w:ind w:left="200" w:right="0" w:firstLine="0"/>
      </w:pPr>
      <w:r>
        <w:rPr>
          <w:rFonts w:ascii="Arial" w:hAnsi="Arial" w:cs="Arial"/>
          <w:b/>
          <w:color w:val="1B4B8A"/>
          <w:sz w:val="19"/>
          <w:szCs w:val="19"/>
        </w:rPr>
        <w:t xml:space="preserve">Fiscal prudence</w:t>
      </w:r>
    </w:p>
    <w:p>
      <w:pPr>
        <w:spacing w:before="0" w:after="120" w:line="264" w:lineRule="auto"/>
        <w:ind w:left="200" w:right="0" w:firstLine="0"/>
        <w:jc w:val="both"/>
      </w:pPr>
      <w:r>
        <w:rPr>
          <w:rFonts w:ascii="Times New Roman" w:hAnsi="Times New Roman" w:cs="Times New Roman"/>
          <w:color w:val="1A1A1A"/>
          <w:sz w:val="21"/>
          <w:szCs w:val="21"/>
        </w:rPr>
        <w:t xml:space="preserve">Growth is financed as far as possible from internal accruals, a policy whose effect is evident in the falling debt-equity ratio examined in Chapter Six.</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2.4  Service Lines and Revenue Model</w:t>
      </w:r>
    </w:p>
    <w:p>
      <w:pPr>
        <w:spacing w:before="0" w:after="130" w:line="264" w:lineRule="auto"/>
        <w:jc w:val="both"/>
      </w:pPr>
      <w:r>
        <w:rPr>
          <w:rFonts w:ascii="Times New Roman" w:hAnsi="Times New Roman" w:cs="Times New Roman"/>
          <w:color w:val="1A1A1A"/>
          <w:sz w:val="21"/>
          <w:szCs w:val="21"/>
        </w:rPr>
        <w:t xml:space="preserve">The organisation earns revenue from five identifiable service lines. The financial significance of the distinction is that they differ sharply in contribution margin, in collection period and in seasonality — three characteristics that drive the analysis in Chapters Four and Five.</w:t>
      </w:r>
    </w:p>
    <w:p>
      <w:pPr>
        <w:keepNext/>
        <w:keepLines/>
        <w:spacing w:before="220" w:after="60"/>
      </w:pPr>
      <w:r>
        <w:rPr>
          <w:rFonts w:ascii="Arial" w:hAnsi="Arial" w:cs="Arial"/>
          <w:b/>
          <w:color w:val="E87A1E"/>
          <w:sz w:val="19"/>
          <w:szCs w:val="19"/>
        </w:rPr>
        <w:t xml:space="preserve">Table 2.2  </w:t>
      </w:r>
      <w:r>
        <w:rPr>
          <w:rFonts w:ascii="Arial" w:hAnsi="Arial" w:cs="Arial"/>
          <w:b/>
          <w:color w:val="122F5C"/>
          <w:sz w:val="19"/>
          <w:szCs w:val="19"/>
        </w:rPr>
        <w:t xml:space="preserve">Service lines and their financial characteristics</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2500"/>
        <w:gridCol w:w="3077"/>
        <w:gridCol w:w="1923"/>
        <w:gridCol w:w="961"/>
        <w:gridCol w:w="1157"/>
      </w:tblGrid>
      <w:tr>
        <w:trPr>
          <w:cantSplit/>
          <w:tblHeader/>
        </w:trPr>
        <w:tc>
          <w:tcPr>
            <w:tcW w:w="2500" w:type="dxa"/>
            <w:shd w:val="clear" w:color="auto" w:fill="122F5C"/>
            <w:vAlign w:val="center"/>
          </w:tcPr>
          <w:p>
            <w:pPr>
              <w:spacing w:before="0" w:after="0"/>
              <w:jc w:val="left"/>
            </w:pPr>
            <w:r>
              <w:rPr>
                <w:rFonts w:ascii="Arial" w:hAnsi="Arial" w:cs="Arial"/>
                <w:b/>
                <w:color w:val="FFFFFF"/>
                <w:sz w:val="16"/>
                <w:szCs w:val="16"/>
              </w:rPr>
              <w:t xml:space="preserve">Service line</w:t>
            </w:r>
          </w:p>
        </w:tc>
        <w:tc>
          <w:tcPr>
            <w:tcW w:w="3077" w:type="dxa"/>
            <w:shd w:val="clear" w:color="auto" w:fill="122F5C"/>
            <w:vAlign w:val="center"/>
          </w:tcPr>
          <w:p>
            <w:pPr>
              <w:spacing w:before="0" w:after="0"/>
              <w:jc w:val="left"/>
            </w:pPr>
            <w:r>
              <w:rPr>
                <w:rFonts w:ascii="Arial" w:hAnsi="Arial" w:cs="Arial"/>
                <w:b/>
                <w:color w:val="FFFFFF"/>
                <w:sz w:val="16"/>
                <w:szCs w:val="16"/>
              </w:rPr>
              <w:t xml:space="preserve">What is delivered</w:t>
            </w:r>
          </w:p>
        </w:tc>
        <w:tc>
          <w:tcPr>
            <w:tcW w:w="1923" w:type="dxa"/>
            <w:shd w:val="clear" w:color="auto" w:fill="122F5C"/>
            <w:vAlign w:val="center"/>
          </w:tcPr>
          <w:p>
            <w:pPr>
              <w:spacing w:before="0" w:after="0"/>
              <w:jc w:val="left"/>
            </w:pPr>
            <w:r>
              <w:rPr>
                <w:rFonts w:ascii="Arial" w:hAnsi="Arial" w:cs="Arial"/>
                <w:b/>
                <w:color w:val="FFFFFF"/>
                <w:sz w:val="16"/>
                <w:szCs w:val="16"/>
              </w:rPr>
              <w:t xml:space="preserve">Revenue basis</w:t>
            </w:r>
          </w:p>
        </w:tc>
        <w:tc>
          <w:tcPr>
            <w:tcW w:w="961" w:type="dxa"/>
            <w:shd w:val="clear" w:color="auto" w:fill="122F5C"/>
            <w:vAlign w:val="center"/>
          </w:tcPr>
          <w:p>
            <w:pPr>
              <w:spacing w:before="0" w:after="0"/>
              <w:jc w:val="center"/>
            </w:pPr>
            <w:r>
              <w:rPr>
                <w:rFonts w:ascii="Arial" w:hAnsi="Arial" w:cs="Arial"/>
                <w:b/>
                <w:color w:val="FFFFFF"/>
                <w:sz w:val="16"/>
                <w:szCs w:val="16"/>
              </w:rPr>
              <w:t xml:space="preserve">Collection</w:t>
            </w:r>
          </w:p>
        </w:tc>
        <w:tc>
          <w:tcPr>
            <w:tcW w:w="1157" w:type="dxa"/>
            <w:shd w:val="clear" w:color="auto" w:fill="122F5C"/>
            <w:vAlign w:val="center"/>
          </w:tcPr>
          <w:p>
            <w:pPr>
              <w:spacing w:before="0" w:after="0"/>
              <w:jc w:val="right"/>
            </w:pPr>
            <w:r>
              <w:rPr>
                <w:rFonts w:ascii="Arial" w:hAnsi="Arial" w:cs="Arial"/>
                <w:b/>
                <w:color w:val="FFFFFF"/>
                <w:sz w:val="16"/>
                <w:szCs w:val="16"/>
              </w:rPr>
              <w:t xml:space="preserve">FY26 ₹ L</w:t>
            </w:r>
          </w:p>
        </w:tc>
      </w:tr>
      <w:tr>
        <w:trPr>
          <w:cantSplit/>
        </w:trPr>
        <w:tc>
          <w:tcPr>
            <w:tcW w:w="250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Paid Internship Programmes</w:t>
            </w:r>
          </w:p>
        </w:tc>
        <w:tc>
          <w:tcPr>
            <w:tcW w:w="307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Structured cohorts of four to eight weeks with mentor review and assessed deliverables</w:t>
            </w:r>
          </w:p>
        </w:tc>
        <w:tc>
          <w:tcPr>
            <w:tcW w:w="192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Per-candidate programme fee</w:t>
            </w:r>
          </w:p>
        </w:tc>
        <w:tc>
          <w:tcPr>
            <w:tcW w:w="961"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Advance</w:t>
            </w:r>
          </w:p>
        </w:tc>
        <w:tc>
          <w:tcPr>
            <w:tcW w:w="115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112.80</w:t>
            </w:r>
          </w:p>
        </w:tc>
      </w:tr>
      <w:tr>
        <w:trPr>
          <w:cantSplit/>
        </w:trPr>
        <w:tc>
          <w:tcPr>
            <w:tcW w:w="250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Career Counselling &amp; Mentoring</w:t>
            </w:r>
          </w:p>
        </w:tc>
        <w:tc>
          <w:tcPr>
            <w:tcW w:w="307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Aptitude assessment, one-to-one counselling and career-path mapping</w:t>
            </w:r>
          </w:p>
        </w:tc>
        <w:tc>
          <w:tcPr>
            <w:tcW w:w="192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Per-session or package fee</w:t>
            </w:r>
          </w:p>
        </w:tc>
        <w:tc>
          <w:tcPr>
            <w:tcW w:w="961"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Advance</w:t>
            </w:r>
          </w:p>
        </w:tc>
        <w:tc>
          <w:tcPr>
            <w:tcW w:w="1157"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38.60</w:t>
            </w:r>
          </w:p>
        </w:tc>
      </w:tr>
      <w:tr>
        <w:trPr>
          <w:cantSplit/>
        </w:trPr>
        <w:tc>
          <w:tcPr>
            <w:tcW w:w="250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College &amp; Corporate B2B Tie-ups</w:t>
            </w:r>
          </w:p>
        </w:tc>
        <w:tc>
          <w:tcPr>
            <w:tcW w:w="307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Institution-wide employability programmes and campus engagement</w:t>
            </w:r>
          </w:p>
        </w:tc>
        <w:tc>
          <w:tcPr>
            <w:tcW w:w="192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Contract value per institution</w:t>
            </w:r>
          </w:p>
        </w:tc>
        <w:tc>
          <w:tcPr>
            <w:tcW w:w="961"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Credit</w:t>
            </w:r>
          </w:p>
        </w:tc>
        <w:tc>
          <w:tcPr>
            <w:tcW w:w="115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34.90</w:t>
            </w:r>
          </w:p>
        </w:tc>
      </w:tr>
      <w:tr>
        <w:trPr>
          <w:cantSplit/>
        </w:trPr>
        <w:tc>
          <w:tcPr>
            <w:tcW w:w="250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Certification &amp; Assessment</w:t>
            </w:r>
          </w:p>
        </w:tc>
        <w:tc>
          <w:tcPr>
            <w:tcW w:w="307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Skill assessment and issue of verifiable certificates</w:t>
            </w:r>
          </w:p>
        </w:tc>
        <w:tc>
          <w:tcPr>
            <w:tcW w:w="192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Per-certificate fee</w:t>
            </w:r>
          </w:p>
        </w:tc>
        <w:tc>
          <w:tcPr>
            <w:tcW w:w="961"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Advance</w:t>
            </w:r>
          </w:p>
        </w:tc>
        <w:tc>
          <w:tcPr>
            <w:tcW w:w="1157"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18.40</w:t>
            </w:r>
          </w:p>
        </w:tc>
      </w:tr>
      <w:tr>
        <w:trPr>
          <w:cantSplit/>
        </w:trPr>
        <w:tc>
          <w:tcPr>
            <w:tcW w:w="250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Workshops, Webinars &amp; Bootcamps</w:t>
            </w:r>
          </w:p>
        </w:tc>
        <w:tc>
          <w:tcPr>
            <w:tcW w:w="307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Short intensive sessions on employability skills</w:t>
            </w:r>
          </w:p>
        </w:tc>
        <w:tc>
          <w:tcPr>
            <w:tcW w:w="192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Per-participant fee</w:t>
            </w:r>
          </w:p>
        </w:tc>
        <w:tc>
          <w:tcPr>
            <w:tcW w:w="961"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Advance</w:t>
            </w:r>
          </w:p>
        </w:tc>
        <w:tc>
          <w:tcPr>
            <w:tcW w:w="115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9.90</w:t>
            </w:r>
          </w:p>
        </w:tc>
      </w:tr>
      <w:tr>
        <w:trPr>
          <w:cantSplit/>
        </w:trPr>
        <w:tc>
          <w:tcPr>
            <w:tcW w:w="2500" w:type="dxa"/>
            <w:tcBorders>
              <w:bottom w:val="single" w:sz="2" w:space="0" w:color="E3E7EC"/>
            </w:tcBorders>
            <w:shd w:val="clear" w:color="auto" w:fill="D8E7F7"/>
          </w:tcPr>
          <w:p>
            <w:pPr>
              <w:spacing w:before="0" w:after="0" w:line="250" w:lineRule="auto"/>
              <w:jc w:val="left"/>
            </w:pPr>
            <w:r>
              <w:rPr>
                <w:rFonts w:ascii="Arial" w:hAnsi="Arial" w:cs="Arial"/>
                <w:b/>
                <w:color w:val="122F5C"/>
                <w:sz w:val="16"/>
                <w:szCs w:val="16"/>
              </w:rPr>
              <w:t xml:space="preserve">Total</w:t>
            </w:r>
          </w:p>
        </w:tc>
        <w:tc>
          <w:tcPr>
            <w:tcW w:w="3077" w:type="dxa"/>
            <w:tcBorders>
              <w:bottom w:val="single" w:sz="2" w:space="0" w:color="E3E7EC"/>
            </w:tcBorders>
            <w:shd w:val="clear" w:color="auto" w:fill="D8E7F7"/>
          </w:tcPr>
          <w:p>
            <w:pPr>
              <w:spacing w:before="0" w:after="0" w:line="250" w:lineRule="auto"/>
              <w:jc w:val="left"/>
            </w:pPr>
          </w:p>
        </w:tc>
        <w:tc>
          <w:tcPr>
            <w:tcW w:w="1923" w:type="dxa"/>
            <w:tcBorders>
              <w:bottom w:val="single" w:sz="2" w:space="0" w:color="E3E7EC"/>
            </w:tcBorders>
            <w:shd w:val="clear" w:color="auto" w:fill="D8E7F7"/>
          </w:tcPr>
          <w:p>
            <w:pPr>
              <w:spacing w:before="0" w:after="0" w:line="250" w:lineRule="auto"/>
              <w:jc w:val="left"/>
            </w:pPr>
          </w:p>
        </w:tc>
        <w:tc>
          <w:tcPr>
            <w:tcW w:w="961" w:type="dxa"/>
            <w:tcBorders>
              <w:bottom w:val="single" w:sz="2" w:space="0" w:color="E3E7EC"/>
            </w:tcBorders>
            <w:shd w:val="clear" w:color="auto" w:fill="D8E7F7"/>
          </w:tcPr>
          <w:p>
            <w:pPr>
              <w:spacing w:before="0" w:after="0" w:line="250" w:lineRule="auto"/>
              <w:jc w:val="center"/>
            </w:pPr>
          </w:p>
        </w:tc>
        <w:tc>
          <w:tcPr>
            <w:tcW w:w="1157" w:type="dxa"/>
            <w:tcBorders>
              <w:bottom w:val="single" w:sz="2" w:space="0" w:color="E3E7EC"/>
            </w:tcBorders>
            <w:shd w:val="clear" w:color="auto" w:fill="D8E7F7"/>
          </w:tcPr>
          <w:p>
            <w:pPr>
              <w:spacing w:before="0" w:after="0" w:line="250" w:lineRule="auto"/>
              <w:jc w:val="right"/>
            </w:pPr>
            <w:r>
              <w:rPr>
                <w:rFonts w:ascii="Arial" w:hAnsi="Arial" w:cs="Arial"/>
                <w:b/>
                <w:color w:val="122F5C"/>
                <w:sz w:val="16"/>
                <w:szCs w:val="16"/>
              </w:rPr>
              <w:t xml:space="preserve">214.60</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Figures are revenue from operations for FY 2025-26 in ₹ lakh. Only the business-to-business line is sold on credit, which is why it accounts for substantially all of the trade receivable balance.</w:t>
      </w:r>
    </w:p>
    <w:tbl>
      <w:tblPr>
        <w:tblW w:w="9618" w:type="dxa"/>
        <w:tblBorders>
          <w:top w:val="single" w:sz="4" w:space="0" w:color="FDEFDD"/>
          <w:left w:val="single" w:sz="24" w:space="0" w:color="E87A1E"/>
          <w:bottom w:val="single" w:sz="4" w:space="0" w:color="FDEFDD"/>
          <w:right w:val="single" w:sz="4" w:space="0" w:color="FDEFDD"/>
        </w:tblBorders>
        <w:tblCellMar>
          <w:top w:w="120" w:type="dxa"/>
          <w:left w:w="180" w:type="dxa"/>
          <w:bottom w:w="120" w:type="dxa"/>
          <w:right w:w="160" w:type="dxa"/>
        </w:tblCellMar>
      </w:tblPr>
      <w:tblGrid>
        <w:gridCol w:w="9618"/>
      </w:tblGrid>
      <w:tr>
        <w:tc>
          <w:tcPr>
            <w:tcW w:w="9618" w:type="dxa"/>
            <w:shd w:val="clear" w:color="auto" w:fill="FDEFDD"/>
          </w:tcPr>
          <w:p>
            <w:pPr>
              <w:spacing w:before="0" w:after="60"/>
            </w:pPr>
            <w:r>
              <w:rPr>
                <w:rFonts w:ascii="Arial" w:hAnsi="Arial" w:cs="Arial"/>
                <w:b/>
                <w:color w:val="E87A1E"/>
                <w:sz w:val="20"/>
                <w:szCs w:val="20"/>
              </w:rPr>
              <w:t xml:space="preserve">Why the Revenue Mix Governs the Liquidity Analysis</w:t>
            </w:r>
          </w:p>
          <w:p>
            <w:pPr>
              <w:spacing w:before="0" w:after="0" w:line="250" w:lineRule="auto"/>
              <w:jc w:val="both"/>
            </w:pPr>
            <w:r>
              <w:rPr>
                <w:rFonts w:ascii="Times New Roman" w:hAnsi="Times New Roman" w:cs="Times New Roman"/>
                <w:color w:val="1A1A1A"/>
                <w:sz w:val="19"/>
                <w:szCs w:val="19"/>
              </w:rPr>
              <w:t xml:space="preserve">Four of the five service lines are collected in advance, and one — the business-to-business line, at 34.90 lakh or 16.26 per cent of turnover — is sold on credit. The trade receivable balance of ₹ 23.10 lakh therefore arises almost entirely from a sixth of the revenue. Read against that sixth rather than against total turnover, the effective credit period is far longer than the 34.0 days that the conventional debtor-days calculation reports. This is the single most important qualification in the whole analysis, and it is developed in Section 6.6.</w:t>
            </w:r>
          </w:p>
        </w:tc>
      </w:tr>
    </w:tbl>
    <w:p>
      <w:pPr>
        <w:spacing w:before="0" w:after="0"/>
      </w:pPr>
      <w:r>
        <w:rPr>
          <w:sz w:val="12"/>
        </w:rPr>
        <w:t/>
      </w:r>
    </w:p>
    <w:p>
      <w:pPr>
        <w:spacing w:before="80" w:after="80"/>
        <w:jc w:val="center"/>
      </w:pPr>
      <w:r>
        <w:drawing>
          <wp:inline distT="0" distB="0" distL="0" distR="0">
            <wp:extent cx="5308600" cy="3185160"/>
            <wp:docPr id="3" name="Picture 3"/>
            <a:graphic>
              <a:graphicData uri="http://schemas.openxmlformats.org/drawingml/2006/picture">
                <pic:pic>
                  <pic:nvPicPr>
                    <pic:cNvPr id="3" name="fig03_revenue_mix.png"/>
                    <pic:cNvPicPr/>
                  </pic:nvPicPr>
                  <pic:blipFill>
                    <a:blip r:embed="rId102"/>
                    <a:stretch>
                      <a:fillRect/>
                    </a:stretch>
                  </pic:blipFill>
                  <pic:spPr>
                    <a:xfrm>
                      <a:off x="0" y="0"/>
                      <a:ext cx="5308600" cy="3185160"/>
                    </a:xfrm>
                    <a:prstGeom prst="rect">
                      <a:avLst/>
                    </a:prstGeom>
                  </pic:spPr>
                </pic:pic>
              </a:graphicData>
            </a:graphic>
          </wp:inline>
        </w:drawing>
      </w:r>
    </w:p>
    <w:p>
      <w:pPr>
        <w:spacing w:before="20" w:after="40"/>
        <w:jc w:val="center"/>
      </w:pPr>
      <w:r>
        <w:rPr>
          <w:rFonts w:ascii="Arial" w:hAnsi="Arial" w:cs="Arial"/>
          <w:b/>
          <w:color w:val="E87A1E"/>
          <w:sz w:val="18"/>
          <w:szCs w:val="18"/>
        </w:rPr>
        <w:t xml:space="preserve">Figure 2.1  </w:t>
      </w:r>
      <w:r>
        <w:rPr>
          <w:rFonts w:ascii="Arial" w:hAnsi="Arial" w:cs="Arial"/>
          <w:color w:val="444A55"/>
          <w:sz w:val="18"/>
          <w:szCs w:val="18"/>
        </w:rPr>
        <w:t xml:space="preserve">Composition of revenue by service line, FY 2025-26</w:t>
      </w:r>
    </w:p>
    <w:p>
      <w:pPr>
        <w:spacing w:before="0" w:after="180"/>
        <w:jc w:val="center"/>
      </w:pPr>
      <w:r>
        <w:rPr>
          <w:rFonts w:ascii="Times New Roman" w:hAnsi="Times New Roman" w:cs="Times New Roman"/>
          <w:i/>
          <w:color w:val="8A919C"/>
          <w:sz w:val="16"/>
          <w:szCs w:val="16"/>
        </w:rPr>
        <w:t xml:space="preserve">Compiled from management accounts.</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2.5  Organisation Structure</w:t>
      </w:r>
    </w:p>
    <w:p>
      <w:pPr>
        <w:spacing w:before="0" w:after="130" w:line="264" w:lineRule="auto"/>
        <w:jc w:val="both"/>
      </w:pPr>
      <w:r>
        <w:rPr>
          <w:rFonts w:ascii="Times New Roman" w:hAnsi="Times New Roman" w:cs="Times New Roman"/>
          <w:color w:val="1A1A1A"/>
          <w:sz w:val="21"/>
          <w:szCs w:val="21"/>
        </w:rPr>
        <w:t xml:space="preserve">The organisation follows a flat functional structure. Five functions report to the management, and the finance function is deliberately positioned as a service to the other four rather than as a control tower over them — an arrangement that encourages cooperation but, as Chapter Five observes, also weakens the authority of the budget.</w:t>
      </w:r>
    </w:p>
    <w:p>
      <w:pPr>
        <w:keepNext/>
        <w:keepLines/>
        <w:spacing w:before="220" w:after="60"/>
      </w:pPr>
      <w:r>
        <w:rPr>
          <w:rFonts w:ascii="Arial" w:hAnsi="Arial" w:cs="Arial"/>
          <w:b/>
          <w:color w:val="E87A1E"/>
          <w:sz w:val="19"/>
          <w:szCs w:val="19"/>
        </w:rPr>
        <w:t xml:space="preserve">Table 2.3  </w:t>
      </w:r>
      <w:r>
        <w:rPr>
          <w:rFonts w:ascii="Arial" w:hAnsi="Arial" w:cs="Arial"/>
          <w:b/>
          <w:color w:val="122F5C"/>
          <w:sz w:val="19"/>
          <w:szCs w:val="19"/>
        </w:rPr>
        <w:t xml:space="preserve">Functions and their financial responsibilities</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2308"/>
        <w:gridCol w:w="3847"/>
        <w:gridCol w:w="3463"/>
      </w:tblGrid>
      <w:tr>
        <w:trPr>
          <w:cantSplit/>
          <w:tblHeader/>
        </w:trPr>
        <w:tc>
          <w:tcPr>
            <w:tcW w:w="2308" w:type="dxa"/>
            <w:shd w:val="clear" w:color="auto" w:fill="122F5C"/>
            <w:vAlign w:val="center"/>
          </w:tcPr>
          <w:p>
            <w:pPr>
              <w:spacing w:before="0" w:after="0"/>
              <w:jc w:val="left"/>
            </w:pPr>
            <w:r>
              <w:rPr>
                <w:rFonts w:ascii="Arial" w:hAnsi="Arial" w:cs="Arial"/>
                <w:b/>
                <w:color w:val="FFFFFF"/>
                <w:sz w:val="17"/>
                <w:szCs w:val="17"/>
              </w:rPr>
              <w:t xml:space="preserve">Function</w:t>
            </w:r>
          </w:p>
        </w:tc>
        <w:tc>
          <w:tcPr>
            <w:tcW w:w="3847" w:type="dxa"/>
            <w:shd w:val="clear" w:color="auto" w:fill="122F5C"/>
            <w:vAlign w:val="center"/>
          </w:tcPr>
          <w:p>
            <w:pPr>
              <w:spacing w:before="0" w:after="0"/>
              <w:jc w:val="left"/>
            </w:pPr>
            <w:r>
              <w:rPr>
                <w:rFonts w:ascii="Arial" w:hAnsi="Arial" w:cs="Arial"/>
                <w:b/>
                <w:color w:val="FFFFFF"/>
                <w:sz w:val="17"/>
                <w:szCs w:val="17"/>
              </w:rPr>
              <w:t xml:space="preserve">Principal responsibility</w:t>
            </w:r>
          </w:p>
        </w:tc>
        <w:tc>
          <w:tcPr>
            <w:tcW w:w="3463" w:type="dxa"/>
            <w:shd w:val="clear" w:color="auto" w:fill="122F5C"/>
            <w:vAlign w:val="center"/>
          </w:tcPr>
          <w:p>
            <w:pPr>
              <w:spacing w:before="0" w:after="0"/>
              <w:jc w:val="left"/>
            </w:pPr>
            <w:r>
              <w:rPr>
                <w:rFonts w:ascii="Arial" w:hAnsi="Arial" w:cs="Arial"/>
                <w:b/>
                <w:color w:val="FFFFFF"/>
                <w:sz w:val="17"/>
                <w:szCs w:val="17"/>
              </w:rPr>
              <w:t xml:space="preserve">Financial interface</w:t>
            </w:r>
          </w:p>
        </w:tc>
      </w:tr>
      <w:tr>
        <w:trPr>
          <w:cantSplit/>
        </w:trPr>
        <w:tc>
          <w:tcPr>
            <w:tcW w:w="230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Management</w:t>
            </w:r>
          </w:p>
        </w:tc>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Strategy, pricing approval, capital and borrowing decisions</w:t>
            </w:r>
          </w:p>
        </w:tc>
        <w:tc>
          <w:tcPr>
            <w:tcW w:w="346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Approves the annual budget and authorises expenditure above delegated limits</w:t>
            </w:r>
          </w:p>
        </w:tc>
      </w:tr>
      <w:tr>
        <w:trPr>
          <w:cantSplit/>
        </w:trPr>
        <w:tc>
          <w:tcPr>
            <w:tcW w:w="230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Programme Delivery</w:t>
            </w:r>
          </w:p>
        </w:tc>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Cohort design, mentor allocation, assessment and certification</w:t>
            </w:r>
          </w:p>
        </w:tc>
        <w:tc>
          <w:tcPr>
            <w:tcW w:w="346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Originates mentor honoraria and content cost, the principal variable cost</w:t>
            </w:r>
          </w:p>
        </w:tc>
      </w:tr>
      <w:tr>
        <w:trPr>
          <w:cantSplit/>
        </w:trPr>
        <w:tc>
          <w:tcPr>
            <w:tcW w:w="230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Admissions &amp; Counselling</w:t>
            </w:r>
          </w:p>
        </w:tc>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Enquiry handling, counselling and enrolment</w:t>
            </w:r>
          </w:p>
        </w:tc>
        <w:tc>
          <w:tcPr>
            <w:tcW w:w="346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Originates collections; operates the payment gateway interface</w:t>
            </w:r>
          </w:p>
        </w:tc>
      </w:tr>
      <w:tr>
        <w:trPr>
          <w:cantSplit/>
        </w:trPr>
        <w:tc>
          <w:tcPr>
            <w:tcW w:w="230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Corporate &amp; Institutional Relations</w:t>
            </w:r>
          </w:p>
        </w:tc>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College and employer tie-ups and contract negotiation</w:t>
            </w:r>
          </w:p>
        </w:tc>
        <w:tc>
          <w:tcPr>
            <w:tcW w:w="346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Originates credit sales and therefore the receivable balance</w:t>
            </w:r>
          </w:p>
        </w:tc>
      </w:tr>
      <w:tr>
        <w:trPr>
          <w:cantSplit/>
        </w:trPr>
        <w:tc>
          <w:tcPr>
            <w:tcW w:w="230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Finance &amp; Accounts</w:t>
            </w:r>
          </w:p>
        </w:tc>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Books of account, collections, payments, statutory compliance and reporting</w:t>
            </w:r>
          </w:p>
        </w:tc>
        <w:tc>
          <w:tcPr>
            <w:tcW w:w="346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Maintains records, prepares budgets and management information</w:t>
            </w:r>
          </w:p>
        </w:tc>
      </w:tr>
      <w:tr>
        <w:trPr>
          <w:cantSplit/>
        </w:trPr>
        <w:tc>
          <w:tcPr>
            <w:tcW w:w="230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Technology &amp; Content</w:t>
            </w:r>
          </w:p>
        </w:tc>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Platform, learning content and data security</w:t>
            </w:r>
          </w:p>
        </w:tc>
        <w:tc>
          <w:tcPr>
            <w:tcW w:w="346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Originates subscription and development cost, largely committed</w:t>
            </w:r>
          </w:p>
        </w:tc>
      </w:tr>
    </w:tbl>
    <w:p>
      <w:pPr>
        <w:spacing w:before="0" w:after="0"/>
      </w:pPr>
      <w:r>
        <w:rPr>
          <w:sz w:val="16"/>
        </w:rPr>
        <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2.6  The Finance and Accounts Function</w:t>
      </w:r>
    </w:p>
    <w:p>
      <w:pPr>
        <w:spacing w:before="0" w:after="130" w:line="264" w:lineRule="auto"/>
        <w:jc w:val="both"/>
      </w:pPr>
      <w:r>
        <w:rPr>
          <w:rFonts w:ascii="Times New Roman" w:hAnsi="Times New Roman" w:cs="Times New Roman"/>
          <w:color w:val="1A1A1A"/>
          <w:sz w:val="21"/>
          <w:szCs w:val="21"/>
        </w:rPr>
        <w:t xml:space="preserve">The finance function is small, and the intern was attached to it. Its work divides into five recurring cycles, which together constitute the process that Chapter Three records and Chapters Four to Six analyse.</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1.</w:t>
      </w:r>
      <w:r>
        <w:tab/>
      </w:r>
      <w:r>
        <w:rPr>
          <w:rFonts w:ascii="Times New Roman" w:hAnsi="Times New Roman" w:cs="Times New Roman"/>
          <w:b/>
          <w:color w:val="1A1A1A"/>
          <w:sz w:val="21"/>
          <w:szCs w:val="21"/>
        </w:rPr>
        <w:t xml:space="preserve">The collection cycle.</w:t>
      </w:r>
      <w:r>
        <w:rPr>
          <w:rFonts w:ascii="Times New Roman" w:hAnsi="Times New Roman" w:cs="Times New Roman"/>
          <w:color w:val="1A1A1A"/>
          <w:sz w:val="21"/>
          <w:szCs w:val="21"/>
        </w:rPr>
        <w:t xml:space="preserve"> Programme fees are received through the payment gateway, by bank transfer or, less often, in cash. Gateway settlements are reconciled against enrolment records, and the difference between gross collection and net settlement — the gateway commission — is recognised as a cost rather than netted against revenue.</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2.</w:t>
      </w:r>
      <w:r>
        <w:tab/>
      </w:r>
      <w:r>
        <w:rPr>
          <w:rFonts w:ascii="Times New Roman" w:hAnsi="Times New Roman" w:cs="Times New Roman"/>
          <w:b/>
          <w:color w:val="1A1A1A"/>
          <w:sz w:val="21"/>
          <w:szCs w:val="21"/>
        </w:rPr>
        <w:t xml:space="preserve">The payment cycle.</w:t>
      </w:r>
      <w:r>
        <w:rPr>
          <w:rFonts w:ascii="Times New Roman" w:hAnsi="Times New Roman" w:cs="Times New Roman"/>
          <w:color w:val="1A1A1A"/>
          <w:sz w:val="21"/>
          <w:szCs w:val="21"/>
        </w:rPr>
        <w:t xml:space="preserve"> Mentor honoraria, content charges, platform subscriptions and incubation fees are processed against approved vouchers. Mentor payouts are the largest recurring payment and are released after the delivery of the assessed cohort.</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3.</w:t>
      </w:r>
      <w:r>
        <w:tab/>
      </w:r>
      <w:r>
        <w:rPr>
          <w:rFonts w:ascii="Times New Roman" w:hAnsi="Times New Roman" w:cs="Times New Roman"/>
          <w:b/>
          <w:color w:val="1A1A1A"/>
          <w:sz w:val="21"/>
          <w:szCs w:val="21"/>
        </w:rPr>
        <w:t xml:space="preserve">The recording cycle.</w:t>
      </w:r>
      <w:r>
        <w:rPr>
          <w:rFonts w:ascii="Times New Roman" w:hAnsi="Times New Roman" w:cs="Times New Roman"/>
          <w:color w:val="1A1A1A"/>
          <w:sz w:val="21"/>
          <w:szCs w:val="21"/>
        </w:rPr>
        <w:t xml:space="preserve"> Vouchers are classified, posted and filed, and ledgers are scrutinised periodically. Bank reconciliation is performed monthly.</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4.</w:t>
      </w:r>
      <w:r>
        <w:tab/>
      </w:r>
      <w:r>
        <w:rPr>
          <w:rFonts w:ascii="Times New Roman" w:hAnsi="Times New Roman" w:cs="Times New Roman"/>
          <w:b/>
          <w:color w:val="1A1A1A"/>
          <w:sz w:val="21"/>
          <w:szCs w:val="21"/>
        </w:rPr>
        <w:t xml:space="preserve">The compliance cycle.</w:t>
      </w:r>
      <w:r>
        <w:rPr>
          <w:rFonts w:ascii="Times New Roman" w:hAnsi="Times New Roman" w:cs="Times New Roman"/>
          <w:color w:val="1A1A1A"/>
          <w:sz w:val="21"/>
          <w:szCs w:val="21"/>
        </w:rPr>
        <w:t xml:space="preserve"> Goods and services tax, tax deducted at source and statutory returns are prepared with professional assistance. Compliance work is concentrated at month and quarter ends, which is when the function is most stretched.</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5.</w:t>
      </w:r>
      <w:r>
        <w:tab/>
      </w:r>
      <w:r>
        <w:rPr>
          <w:rFonts w:ascii="Times New Roman" w:hAnsi="Times New Roman" w:cs="Times New Roman"/>
          <w:b/>
          <w:color w:val="1A1A1A"/>
          <w:sz w:val="21"/>
          <w:szCs w:val="21"/>
        </w:rPr>
        <w:t xml:space="preserve">The reporting cycle.</w:t>
      </w:r>
      <w:r>
        <w:rPr>
          <w:rFonts w:ascii="Times New Roman" w:hAnsi="Times New Roman" w:cs="Times New Roman"/>
          <w:color w:val="1A1A1A"/>
          <w:sz w:val="21"/>
          <w:szCs w:val="21"/>
        </w:rPr>
        <w:t xml:space="preserve"> A monthly revenue and collection statement is prepared for management. A full budget-versus-actual comparison is, at present, prepared annually — a gap identified as a finding in Chapter Nine.</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2.7  Growth Record</w:t>
      </w:r>
    </w:p>
    <w:p>
      <w:pPr>
        <w:spacing w:before="0" w:after="130" w:line="264" w:lineRule="auto"/>
        <w:jc w:val="both"/>
      </w:pPr>
      <w:r>
        <w:rPr>
          <w:rFonts w:ascii="Times New Roman" w:hAnsi="Times New Roman" w:cs="Times New Roman"/>
          <w:color w:val="1A1A1A"/>
          <w:sz w:val="21"/>
          <w:szCs w:val="21"/>
        </w:rPr>
        <w:t xml:space="preserve">The organisation has grown rapidly over the three years under review. Revenue from operations has risen from ₹ 96.40 lakh to ₹ 214.60 lakh and profit after tax from ₹ 3.15 lakh to ₹ 18.53 lakh. The pattern — revenue growth accompanied by a faster growth in profit — indicates operating leverage at work, and it is examined quantitatively in Section 5.7.</w:t>
      </w:r>
    </w:p>
    <w:p>
      <w:pPr>
        <w:keepNext/>
        <w:keepLines/>
        <w:spacing w:before="220" w:after="60"/>
      </w:pPr>
      <w:r>
        <w:rPr>
          <w:rFonts w:ascii="Arial" w:hAnsi="Arial" w:cs="Arial"/>
          <w:b/>
          <w:color w:val="E87A1E"/>
          <w:sz w:val="19"/>
          <w:szCs w:val="19"/>
        </w:rPr>
        <w:t xml:space="preserve">Table 2.4  </w:t>
      </w:r>
      <w:r>
        <w:rPr>
          <w:rFonts w:ascii="Arial" w:hAnsi="Arial" w:cs="Arial"/>
          <w:b/>
          <w:color w:val="122F5C"/>
          <w:sz w:val="19"/>
          <w:szCs w:val="19"/>
        </w:rPr>
        <w:t xml:space="preserve">Three-year growth record</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3270"/>
        <w:gridCol w:w="1538"/>
        <w:gridCol w:w="1538"/>
        <w:gridCol w:w="1538"/>
        <w:gridCol w:w="1734"/>
      </w:tblGrid>
      <w:tr>
        <w:trPr>
          <w:cantSplit/>
          <w:tblHeader/>
        </w:trPr>
        <w:tc>
          <w:tcPr>
            <w:tcW w:w="3270" w:type="dxa"/>
            <w:shd w:val="clear" w:color="auto" w:fill="122F5C"/>
            <w:vAlign w:val="center"/>
          </w:tcPr>
          <w:p>
            <w:pPr>
              <w:spacing w:before="0" w:after="0"/>
              <w:jc w:val="left"/>
            </w:pPr>
            <w:r>
              <w:rPr>
                <w:rFonts w:ascii="Arial" w:hAnsi="Arial" w:cs="Arial"/>
                <w:b/>
                <w:color w:val="FFFFFF"/>
                <w:sz w:val="18"/>
                <w:szCs w:val="18"/>
              </w:rPr>
              <w:t xml:space="preserve">Particulars</w:t>
            </w:r>
          </w:p>
        </w:tc>
        <w:tc>
          <w:tcPr>
            <w:tcW w:w="1538" w:type="dxa"/>
            <w:shd w:val="clear" w:color="auto" w:fill="122F5C"/>
            <w:vAlign w:val="center"/>
          </w:tcPr>
          <w:p>
            <w:pPr>
              <w:spacing w:before="0" w:after="0"/>
              <w:jc w:val="right"/>
            </w:pPr>
            <w:r>
              <w:rPr>
                <w:rFonts w:ascii="Arial" w:hAnsi="Arial" w:cs="Arial"/>
                <w:b/>
                <w:color w:val="FFFFFF"/>
                <w:sz w:val="18"/>
                <w:szCs w:val="18"/>
              </w:rPr>
              <w:t xml:space="preserve">FY 2023-24</w:t>
            </w:r>
          </w:p>
        </w:tc>
        <w:tc>
          <w:tcPr>
            <w:tcW w:w="1538" w:type="dxa"/>
            <w:shd w:val="clear" w:color="auto" w:fill="122F5C"/>
            <w:vAlign w:val="center"/>
          </w:tcPr>
          <w:p>
            <w:pPr>
              <w:spacing w:before="0" w:after="0"/>
              <w:jc w:val="right"/>
            </w:pPr>
            <w:r>
              <w:rPr>
                <w:rFonts w:ascii="Arial" w:hAnsi="Arial" w:cs="Arial"/>
                <w:b/>
                <w:color w:val="FFFFFF"/>
                <w:sz w:val="18"/>
                <w:szCs w:val="18"/>
              </w:rPr>
              <w:t xml:space="preserve">FY 2024-25</w:t>
            </w:r>
          </w:p>
        </w:tc>
        <w:tc>
          <w:tcPr>
            <w:tcW w:w="1538" w:type="dxa"/>
            <w:shd w:val="clear" w:color="auto" w:fill="122F5C"/>
            <w:vAlign w:val="center"/>
          </w:tcPr>
          <w:p>
            <w:pPr>
              <w:spacing w:before="0" w:after="0"/>
              <w:jc w:val="right"/>
            </w:pPr>
            <w:r>
              <w:rPr>
                <w:rFonts w:ascii="Arial" w:hAnsi="Arial" w:cs="Arial"/>
                <w:b/>
                <w:color w:val="FFFFFF"/>
                <w:sz w:val="18"/>
                <w:szCs w:val="18"/>
              </w:rPr>
              <w:t xml:space="preserve">FY 2025-26</w:t>
            </w:r>
          </w:p>
        </w:tc>
        <w:tc>
          <w:tcPr>
            <w:tcW w:w="1734" w:type="dxa"/>
            <w:shd w:val="clear" w:color="auto" w:fill="122F5C"/>
            <w:vAlign w:val="center"/>
          </w:tcPr>
          <w:p>
            <w:pPr>
              <w:spacing w:before="0" w:after="0"/>
              <w:jc w:val="right"/>
            </w:pPr>
            <w:r>
              <w:rPr>
                <w:rFonts w:ascii="Arial" w:hAnsi="Arial" w:cs="Arial"/>
                <w:b/>
                <w:color w:val="FFFFFF"/>
                <w:sz w:val="18"/>
                <w:szCs w:val="18"/>
              </w:rPr>
              <w:t xml:space="preserve">Growth</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Revenue from Operations (₹ L)</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96.40</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148.75</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214.60</w:t>
            </w:r>
          </w:p>
        </w:tc>
        <w:tc>
          <w:tcPr>
            <w:tcW w:w="1734"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44.3%</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Total Income (₹ L)</w:t>
            </w:r>
          </w:p>
        </w:tc>
        <w:tc>
          <w:tcPr>
            <w:tcW w:w="153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97.60</w:t>
            </w:r>
          </w:p>
        </w:tc>
        <w:tc>
          <w:tcPr>
            <w:tcW w:w="153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150.80</w:t>
            </w:r>
          </w:p>
        </w:tc>
        <w:tc>
          <w:tcPr>
            <w:tcW w:w="153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218.00</w:t>
            </w:r>
          </w:p>
        </w:tc>
        <w:tc>
          <w:tcPr>
            <w:tcW w:w="1734"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44.6%</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EBITDA (₹ L)</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7.50</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16.90</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29.80</w:t>
            </w:r>
          </w:p>
        </w:tc>
        <w:tc>
          <w:tcPr>
            <w:tcW w:w="1734"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76.3%</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Profit Before Tax (₹ L)</w:t>
            </w:r>
          </w:p>
        </w:tc>
        <w:tc>
          <w:tcPr>
            <w:tcW w:w="153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4.20</w:t>
            </w:r>
          </w:p>
        </w:tc>
        <w:tc>
          <w:tcPr>
            <w:tcW w:w="153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12.70</w:t>
            </w:r>
          </w:p>
        </w:tc>
        <w:tc>
          <w:tcPr>
            <w:tcW w:w="153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24.70</w:t>
            </w:r>
          </w:p>
        </w:tc>
        <w:tc>
          <w:tcPr>
            <w:tcW w:w="1734"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94.5%</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Profit After Tax (₹ L)</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3.15</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9.53</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18.53</w:t>
            </w:r>
          </w:p>
        </w:tc>
        <w:tc>
          <w:tcPr>
            <w:tcW w:w="1734"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94.4%</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Net Worth (₹ L)</w:t>
            </w:r>
          </w:p>
        </w:tc>
        <w:tc>
          <w:tcPr>
            <w:tcW w:w="153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14.85</w:t>
            </w:r>
          </w:p>
        </w:tc>
        <w:tc>
          <w:tcPr>
            <w:tcW w:w="153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24.38</w:t>
            </w:r>
          </w:p>
        </w:tc>
        <w:tc>
          <w:tcPr>
            <w:tcW w:w="153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42.91</w:t>
            </w:r>
          </w:p>
        </w:tc>
        <w:tc>
          <w:tcPr>
            <w:tcW w:w="1734"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76.0%</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Balance Sheet Total (₹ L)</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40.00</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55.40</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80.51</w:t>
            </w:r>
          </w:p>
        </w:tc>
        <w:tc>
          <w:tcPr>
            <w:tcW w:w="1734"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45.3%</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Growth column shows the year-on-year increase in FY 2025-26 over FY 2024-25.</w:t>
      </w:r>
    </w:p>
    <w:p>
      <w:pPr>
        <w:spacing w:before="80" w:after="80"/>
        <w:jc w:val="center"/>
      </w:pPr>
      <w:r>
        <w:drawing>
          <wp:inline distT="0" distB="0" distL="0" distR="0">
            <wp:extent cx="5308600" cy="3185160"/>
            <wp:docPr id="4" name="Picture 4"/>
            <a:graphic>
              <a:graphicData uri="http://schemas.openxmlformats.org/drawingml/2006/picture">
                <pic:pic>
                  <pic:nvPicPr>
                    <pic:cNvPr id="4" name="fig01_revenue_growth.png"/>
                    <pic:cNvPicPr/>
                  </pic:nvPicPr>
                  <pic:blipFill>
                    <a:blip r:embed="rId103"/>
                    <a:stretch>
                      <a:fillRect/>
                    </a:stretch>
                  </pic:blipFill>
                  <pic:spPr>
                    <a:xfrm>
                      <a:off x="0" y="0"/>
                      <a:ext cx="5308600" cy="3185160"/>
                    </a:xfrm>
                    <a:prstGeom prst="rect">
                      <a:avLst/>
                    </a:prstGeom>
                  </pic:spPr>
                </pic:pic>
              </a:graphicData>
            </a:graphic>
          </wp:inline>
        </w:drawing>
      </w:r>
    </w:p>
    <w:p>
      <w:pPr>
        <w:spacing w:before="20" w:after="40"/>
        <w:jc w:val="center"/>
      </w:pPr>
      <w:r>
        <w:rPr>
          <w:rFonts w:ascii="Arial" w:hAnsi="Arial" w:cs="Arial"/>
          <w:b/>
          <w:color w:val="E87A1E"/>
          <w:sz w:val="18"/>
          <w:szCs w:val="18"/>
        </w:rPr>
        <w:t xml:space="preserve">Figure 2.2  </w:t>
      </w:r>
      <w:r>
        <w:rPr>
          <w:rFonts w:ascii="Arial" w:hAnsi="Arial" w:cs="Arial"/>
          <w:color w:val="444A55"/>
          <w:sz w:val="18"/>
          <w:szCs w:val="18"/>
        </w:rPr>
        <w:t xml:space="preserve">Revenue from operations and net profit margin over three years</w:t>
      </w:r>
    </w:p>
    <w:p>
      <w:pPr>
        <w:spacing w:before="0" w:after="180"/>
        <w:jc w:val="center"/>
      </w:pPr>
      <w:r>
        <w:rPr>
          <w:rFonts w:ascii="Times New Roman" w:hAnsi="Times New Roman" w:cs="Times New Roman"/>
          <w:i/>
          <w:color w:val="8A919C"/>
          <w:sz w:val="16"/>
          <w:szCs w:val="16"/>
        </w:rPr>
        <w:t xml:space="preserve">Computed from the Statement of Profit and Loss.</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2.8  Competitive Position</w:t>
      </w:r>
    </w:p>
    <w:p>
      <w:pPr>
        <w:spacing w:before="0" w:after="130" w:line="264" w:lineRule="auto"/>
        <w:jc w:val="both"/>
      </w:pPr>
      <w:r>
        <w:rPr>
          <w:rFonts w:ascii="Times New Roman" w:hAnsi="Times New Roman" w:cs="Times New Roman"/>
          <w:color w:val="1A1A1A"/>
          <w:sz w:val="21"/>
          <w:szCs w:val="21"/>
        </w:rPr>
        <w:t xml:space="preserve">The organisation competes in a fragmented market with three kinds of rival: national online internship platforms with large marketing budgets and negligible local presence; local coaching and placement consultancies with local presence but no structured programme design; and college placement cells offering the service free of charge. Its defensible position lies in combining structured, assessed programme design with a local presence and a price point suited to the regional market.</w:t>
      </w:r>
    </w:p>
    <w:p>
      <w:pPr>
        <w:keepNext/>
        <w:keepLines/>
        <w:spacing w:before="200" w:after="80"/>
      </w:pPr>
      <w:r>
        <w:rPr>
          <w:rFonts w:ascii="Arial" w:hAnsi="Arial" w:cs="Arial"/>
          <w:b/>
          <w:color w:val="1B4B8A"/>
          <w:sz w:val="21"/>
          <w:szCs w:val="21"/>
        </w:rPr>
        <w:t xml:space="preserve">SWOT Appraisal</w:t>
      </w:r>
    </w:p>
    <w:p>
      <w:pPr>
        <w:keepNext/>
        <w:keepLines/>
        <w:spacing w:before="220" w:after="60"/>
      </w:pPr>
      <w:r>
        <w:rPr>
          <w:rFonts w:ascii="Arial" w:hAnsi="Arial" w:cs="Arial"/>
          <w:b/>
          <w:color w:val="E87A1E"/>
          <w:sz w:val="19"/>
          <w:szCs w:val="19"/>
        </w:rPr>
        <w:t xml:space="preserve">Table 2.5  </w:t>
      </w:r>
      <w:r>
        <w:rPr>
          <w:rFonts w:ascii="Arial" w:hAnsi="Arial" w:cs="Arial"/>
          <w:b/>
          <w:color w:val="122F5C"/>
          <w:sz w:val="19"/>
          <w:szCs w:val="19"/>
        </w:rPr>
        <w:t xml:space="preserve">SWOT appraisal with financial implications</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1346"/>
        <w:gridCol w:w="4231"/>
        <w:gridCol w:w="4041"/>
      </w:tblGrid>
      <w:tr>
        <w:trPr>
          <w:cantSplit/>
          <w:tblHeader/>
        </w:trPr>
        <w:tc>
          <w:tcPr>
            <w:tcW w:w="1346" w:type="dxa"/>
            <w:shd w:val="clear" w:color="auto" w:fill="122F5C"/>
            <w:vAlign w:val="center"/>
          </w:tcPr>
          <w:p>
            <w:pPr>
              <w:spacing w:before="0" w:after="0"/>
              <w:jc w:val="left"/>
            </w:pPr>
            <w:r>
              <w:rPr>
                <w:rFonts w:ascii="Arial" w:hAnsi="Arial" w:cs="Arial"/>
                <w:b/>
                <w:color w:val="FFFFFF"/>
                <w:sz w:val="16"/>
                <w:szCs w:val="16"/>
              </w:rPr>
              <w:t xml:space="preserve">Dimension</w:t>
            </w:r>
          </w:p>
        </w:tc>
        <w:tc>
          <w:tcPr>
            <w:tcW w:w="4231" w:type="dxa"/>
            <w:shd w:val="clear" w:color="auto" w:fill="122F5C"/>
            <w:vAlign w:val="center"/>
          </w:tcPr>
          <w:p>
            <w:pPr>
              <w:spacing w:before="0" w:after="0"/>
              <w:jc w:val="left"/>
            </w:pPr>
            <w:r>
              <w:rPr>
                <w:rFonts w:ascii="Arial" w:hAnsi="Arial" w:cs="Arial"/>
                <w:b/>
                <w:color w:val="FFFFFF"/>
                <w:sz w:val="16"/>
                <w:szCs w:val="16"/>
              </w:rPr>
              <w:t xml:space="preserve">Observation</w:t>
            </w:r>
          </w:p>
        </w:tc>
        <w:tc>
          <w:tcPr>
            <w:tcW w:w="4041" w:type="dxa"/>
            <w:shd w:val="clear" w:color="auto" w:fill="122F5C"/>
            <w:vAlign w:val="center"/>
          </w:tcPr>
          <w:p>
            <w:pPr>
              <w:spacing w:before="0" w:after="0"/>
              <w:jc w:val="left"/>
            </w:pPr>
            <w:r>
              <w:rPr>
                <w:rFonts w:ascii="Arial" w:hAnsi="Arial" w:cs="Arial"/>
                <w:b/>
                <w:color w:val="FFFFFF"/>
                <w:sz w:val="16"/>
                <w:szCs w:val="16"/>
              </w:rPr>
              <w:t xml:space="preserve">Financial implication</w:t>
            </w:r>
          </w:p>
        </w:tc>
      </w:tr>
      <w:tr>
        <w:trPr>
          <w:cantSplit/>
        </w:trPr>
        <w:tc>
          <w:tcPr>
            <w:tcW w:w="1346" w:type="dxa"/>
            <w:tcBorders>
              <w:bottom w:val="single" w:sz="2" w:space="0" w:color="E3E7EC"/>
            </w:tcBorders>
            <w:shd w:val="clear" w:color="auto" w:fill="1B4B8A"/>
          </w:tcPr>
          <w:p>
            <w:pPr>
              <w:spacing w:before="0" w:after="0" w:line="250" w:lineRule="auto"/>
              <w:jc w:val="left"/>
            </w:pPr>
            <w:r>
              <w:rPr>
                <w:rFonts w:ascii="Arial" w:hAnsi="Arial" w:cs="Arial"/>
                <w:b/>
                <w:color w:val="FFFFFF"/>
                <w:sz w:val="16"/>
                <w:szCs w:val="16"/>
              </w:rPr>
              <w:t xml:space="preserve">Strengths</w:t>
            </w:r>
          </w:p>
        </w:tc>
        <w:tc>
          <w:tcPr>
            <w:tcW w:w="4231" w:type="dxa"/>
            <w:tcBorders>
              <w:bottom w:val="single" w:sz="2" w:space="0" w:color="E3E7EC"/>
            </w:tcBorders>
            <w:shd w:val="clear" w:color="auto" w:fill="1B4B8A"/>
          </w:tcPr>
          <w:p>
            <w:pPr>
              <w:spacing w:before="0" w:after="0" w:line="250" w:lineRule="auto"/>
              <w:jc w:val="left"/>
            </w:pPr>
          </w:p>
        </w:tc>
        <w:tc>
          <w:tcPr>
            <w:tcW w:w="4041" w:type="dxa"/>
            <w:tcBorders>
              <w:bottom w:val="single" w:sz="2" w:space="0" w:color="E3E7EC"/>
            </w:tcBorders>
            <w:shd w:val="clear" w:color="auto" w:fill="1B4B8A"/>
          </w:tcPr>
          <w:p>
            <w:pPr>
              <w:spacing w:before="0" w:after="0" w:line="250" w:lineRule="auto"/>
              <w:jc w:val="left"/>
            </w:pPr>
          </w:p>
        </w:tc>
      </w:tr>
      <w:tr>
        <w:trPr>
          <w:cantSplit/>
        </w:trPr>
        <w:tc>
          <w:tcPr>
            <w:tcW w:w="1346" w:type="dxa"/>
            <w:tcBorders>
              <w:bottom w:val="single" w:sz="2" w:space="0" w:color="E3E7EC"/>
            </w:tcBorders>
            <w:shd w:val="clear" w:color="auto" w:fill="FAFBFD"/>
          </w:tcPr>
          <w:p>
            <w:pPr>
              <w:spacing w:before="0" w:after="0" w:line="250" w:lineRule="auto"/>
              <w:jc w:val="left"/>
            </w:pPr>
          </w:p>
        </w:tc>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Asset-light model requiring no inventory and little fixed capital</w:t>
            </w:r>
          </w:p>
        </w:tc>
        <w:tc>
          <w:tcPr>
            <w:tcW w:w="404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High fixed asset turnover of 10.73 times and a low capital requirement for growth</w:t>
            </w:r>
          </w:p>
        </w:tc>
      </w:tr>
      <w:tr>
        <w:trPr>
          <w:cantSplit/>
        </w:trPr>
        <w:tc>
          <w:tcPr>
            <w:tcW w:w="1346" w:type="dxa"/>
            <w:tcBorders>
              <w:bottom w:val="single" w:sz="2" w:space="0" w:color="E3E7EC"/>
            </w:tcBorders>
            <w:shd w:val="clear" w:color="auto" w:fill="FFFFFF"/>
          </w:tcPr>
          <w:p>
            <w:pPr>
              <w:spacing w:before="0" w:after="0" w:line="250" w:lineRule="auto"/>
              <w:jc w:val="left"/>
            </w:pPr>
          </w:p>
        </w:tc>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Four of five service lines collected in advance</w:t>
            </w:r>
          </w:p>
        </w:tc>
        <w:tc>
          <w:tcPr>
            <w:tcW w:w="404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Negative cash conversion cycle of about 28.4 days</w:t>
            </w:r>
          </w:p>
        </w:tc>
      </w:tr>
      <w:tr>
        <w:trPr>
          <w:cantSplit/>
        </w:trPr>
        <w:tc>
          <w:tcPr>
            <w:tcW w:w="1346" w:type="dxa"/>
            <w:tcBorders>
              <w:bottom w:val="single" w:sz="2" w:space="0" w:color="E3E7EC"/>
            </w:tcBorders>
            <w:shd w:val="clear" w:color="auto" w:fill="FAFBFD"/>
          </w:tcPr>
          <w:p>
            <w:pPr>
              <w:spacing w:before="0" w:after="0" w:line="250" w:lineRule="auto"/>
              <w:jc w:val="left"/>
            </w:pPr>
          </w:p>
        </w:tc>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Growth financed from retained earnings</w:t>
            </w:r>
          </w:p>
        </w:tc>
        <w:tc>
          <w:tcPr>
            <w:tcW w:w="404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Debt-equity down to 0.26 and interest cover of 16.44 times</w:t>
            </w:r>
          </w:p>
        </w:tc>
      </w:tr>
      <w:tr>
        <w:trPr>
          <w:cantSplit/>
        </w:trPr>
        <w:tc>
          <w:tcPr>
            <w:tcW w:w="1346" w:type="dxa"/>
            <w:tcBorders>
              <w:bottom w:val="single" w:sz="2" w:space="0" w:color="E3E7EC"/>
            </w:tcBorders>
            <w:shd w:val="clear" w:color="auto" w:fill="FFFFFF"/>
          </w:tcPr>
          <w:p>
            <w:pPr>
              <w:spacing w:before="0" w:after="0" w:line="250" w:lineRule="auto"/>
              <w:jc w:val="left"/>
            </w:pPr>
          </w:p>
        </w:tc>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Low occupancy cost through incubation</w:t>
            </w:r>
          </w:p>
        </w:tc>
        <w:tc>
          <w:tcPr>
            <w:tcW w:w="404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Contained committed overhead and a lower break-even point</w:t>
            </w:r>
          </w:p>
        </w:tc>
      </w:tr>
      <w:tr>
        <w:trPr>
          <w:cantSplit/>
        </w:trPr>
        <w:tc>
          <w:tcPr>
            <w:tcW w:w="1346" w:type="dxa"/>
            <w:tcBorders>
              <w:bottom w:val="single" w:sz="2" w:space="0" w:color="E3E7EC"/>
            </w:tcBorders>
            <w:shd w:val="clear" w:color="auto" w:fill="1B4B8A"/>
          </w:tcPr>
          <w:p>
            <w:pPr>
              <w:spacing w:before="0" w:after="0" w:line="250" w:lineRule="auto"/>
              <w:jc w:val="left"/>
            </w:pPr>
            <w:r>
              <w:rPr>
                <w:rFonts w:ascii="Arial" w:hAnsi="Arial" w:cs="Arial"/>
                <w:b/>
                <w:color w:val="FFFFFF"/>
                <w:sz w:val="16"/>
                <w:szCs w:val="16"/>
              </w:rPr>
              <w:t xml:space="preserve">Weaknesses</w:t>
            </w:r>
          </w:p>
        </w:tc>
        <w:tc>
          <w:tcPr>
            <w:tcW w:w="4231" w:type="dxa"/>
            <w:tcBorders>
              <w:bottom w:val="single" w:sz="2" w:space="0" w:color="E3E7EC"/>
            </w:tcBorders>
            <w:shd w:val="clear" w:color="auto" w:fill="1B4B8A"/>
          </w:tcPr>
          <w:p>
            <w:pPr>
              <w:spacing w:before="0" w:after="0" w:line="250" w:lineRule="auto"/>
              <w:jc w:val="left"/>
            </w:pPr>
          </w:p>
        </w:tc>
        <w:tc>
          <w:tcPr>
            <w:tcW w:w="4041" w:type="dxa"/>
            <w:tcBorders>
              <w:bottom w:val="single" w:sz="2" w:space="0" w:color="E3E7EC"/>
            </w:tcBorders>
            <w:shd w:val="clear" w:color="auto" w:fill="1B4B8A"/>
          </w:tcPr>
          <w:p>
            <w:pPr>
              <w:spacing w:before="0" w:after="0" w:line="250" w:lineRule="auto"/>
              <w:jc w:val="left"/>
            </w:pPr>
          </w:p>
        </w:tc>
      </w:tr>
      <w:tr>
        <w:trPr>
          <w:cantSplit/>
        </w:trPr>
        <w:tc>
          <w:tcPr>
            <w:tcW w:w="1346" w:type="dxa"/>
            <w:tcBorders>
              <w:bottom w:val="single" w:sz="2" w:space="0" w:color="E3E7EC"/>
            </w:tcBorders>
            <w:shd w:val="clear" w:color="auto" w:fill="FFFFFF"/>
          </w:tcPr>
          <w:p>
            <w:pPr>
              <w:spacing w:before="0" w:after="0" w:line="250" w:lineRule="auto"/>
              <w:jc w:val="left"/>
            </w:pPr>
          </w:p>
        </w:tc>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Concentration of revenue in one service line</w:t>
            </w:r>
          </w:p>
        </w:tc>
        <w:tc>
          <w:tcPr>
            <w:tcW w:w="404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52.56 per cent of turnover from paid internship programmes</w:t>
            </w:r>
          </w:p>
        </w:tc>
      </w:tr>
      <w:tr>
        <w:trPr>
          <w:cantSplit/>
        </w:trPr>
        <w:tc>
          <w:tcPr>
            <w:tcW w:w="1346" w:type="dxa"/>
            <w:tcBorders>
              <w:bottom w:val="single" w:sz="2" w:space="0" w:color="E3E7EC"/>
            </w:tcBorders>
            <w:shd w:val="clear" w:color="auto" w:fill="FAFBFD"/>
          </w:tcPr>
          <w:p>
            <w:pPr>
              <w:spacing w:before="0" w:after="0" w:line="250" w:lineRule="auto"/>
              <w:jc w:val="left"/>
            </w:pPr>
          </w:p>
        </w:tc>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Institutional receivables not governed by a written credit policy</w:t>
            </w:r>
          </w:p>
        </w:tc>
        <w:tc>
          <w:tcPr>
            <w:tcW w:w="404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Trade receivables of ₹ 23.10 lakh arising from a sixth of revenue</w:t>
            </w:r>
          </w:p>
        </w:tc>
      </w:tr>
      <w:tr>
        <w:trPr>
          <w:cantSplit/>
        </w:trPr>
        <w:tc>
          <w:tcPr>
            <w:tcW w:w="1346" w:type="dxa"/>
            <w:tcBorders>
              <w:bottom w:val="single" w:sz="2" w:space="0" w:color="E3E7EC"/>
            </w:tcBorders>
            <w:shd w:val="clear" w:color="auto" w:fill="FFFFFF"/>
          </w:tcPr>
          <w:p>
            <w:pPr>
              <w:spacing w:before="0" w:after="0" w:line="250" w:lineRule="auto"/>
              <w:jc w:val="left"/>
            </w:pPr>
          </w:p>
        </w:tc>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Budget review performed annually rather than monthly</w:t>
            </w:r>
          </w:p>
        </w:tc>
        <w:tc>
          <w:tcPr>
            <w:tcW w:w="404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Adverse variances identified after the year has closed</w:t>
            </w:r>
          </w:p>
        </w:tc>
      </w:tr>
      <w:tr>
        <w:trPr>
          <w:cantSplit/>
        </w:trPr>
        <w:tc>
          <w:tcPr>
            <w:tcW w:w="1346" w:type="dxa"/>
            <w:tcBorders>
              <w:bottom w:val="single" w:sz="2" w:space="0" w:color="E3E7EC"/>
            </w:tcBorders>
            <w:shd w:val="clear" w:color="auto" w:fill="FAFBFD"/>
          </w:tcPr>
          <w:p>
            <w:pPr>
              <w:spacing w:before="0" w:after="0" w:line="250" w:lineRule="auto"/>
              <w:jc w:val="left"/>
            </w:pPr>
          </w:p>
        </w:tc>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Marketing spend not measured per enrolment by channel</w:t>
            </w:r>
          </w:p>
        </w:tc>
        <w:tc>
          <w:tcPr>
            <w:tcW w:w="404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Marketing overspend of 10.33 per cent against budget</w:t>
            </w:r>
          </w:p>
        </w:tc>
      </w:tr>
      <w:tr>
        <w:trPr>
          <w:cantSplit/>
        </w:trPr>
        <w:tc>
          <w:tcPr>
            <w:tcW w:w="1346" w:type="dxa"/>
            <w:tcBorders>
              <w:bottom w:val="single" w:sz="2" w:space="0" w:color="E3E7EC"/>
            </w:tcBorders>
            <w:shd w:val="clear" w:color="auto" w:fill="1B4B8A"/>
          </w:tcPr>
          <w:p>
            <w:pPr>
              <w:spacing w:before="0" w:after="0" w:line="250" w:lineRule="auto"/>
              <w:jc w:val="left"/>
            </w:pPr>
            <w:r>
              <w:rPr>
                <w:rFonts w:ascii="Arial" w:hAnsi="Arial" w:cs="Arial"/>
                <w:b/>
                <w:color w:val="FFFFFF"/>
                <w:sz w:val="16"/>
                <w:szCs w:val="16"/>
              </w:rPr>
              <w:t xml:space="preserve">Opportunities</w:t>
            </w:r>
          </w:p>
        </w:tc>
        <w:tc>
          <w:tcPr>
            <w:tcW w:w="4231" w:type="dxa"/>
            <w:tcBorders>
              <w:bottom w:val="single" w:sz="2" w:space="0" w:color="E3E7EC"/>
            </w:tcBorders>
            <w:shd w:val="clear" w:color="auto" w:fill="1B4B8A"/>
          </w:tcPr>
          <w:p>
            <w:pPr>
              <w:spacing w:before="0" w:after="0" w:line="250" w:lineRule="auto"/>
              <w:jc w:val="left"/>
            </w:pPr>
          </w:p>
        </w:tc>
        <w:tc>
          <w:tcPr>
            <w:tcW w:w="4041" w:type="dxa"/>
            <w:tcBorders>
              <w:bottom w:val="single" w:sz="2" w:space="0" w:color="E3E7EC"/>
            </w:tcBorders>
            <w:shd w:val="clear" w:color="auto" w:fill="1B4B8A"/>
          </w:tcPr>
          <w:p>
            <w:pPr>
              <w:spacing w:before="0" w:after="0" w:line="250" w:lineRule="auto"/>
              <w:jc w:val="left"/>
            </w:pPr>
          </w:p>
        </w:tc>
      </w:tr>
      <w:tr>
        <w:trPr>
          <w:cantSplit/>
        </w:trPr>
        <w:tc>
          <w:tcPr>
            <w:tcW w:w="1346" w:type="dxa"/>
            <w:tcBorders>
              <w:bottom w:val="single" w:sz="2" w:space="0" w:color="E3E7EC"/>
            </w:tcBorders>
            <w:shd w:val="clear" w:color="auto" w:fill="FAFBFD"/>
          </w:tcPr>
          <w:p>
            <w:pPr>
              <w:spacing w:before="0" w:after="0" w:line="250" w:lineRule="auto"/>
              <w:jc w:val="left"/>
            </w:pPr>
          </w:p>
        </w:tc>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Expansion of institutional tie-ups across Bihar</w:t>
            </w:r>
          </w:p>
        </w:tc>
        <w:tc>
          <w:tcPr>
            <w:tcW w:w="404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Contracted, predictable revenue that reduces seasonality</w:t>
            </w:r>
          </w:p>
        </w:tc>
      </w:tr>
      <w:tr>
        <w:trPr>
          <w:cantSplit/>
        </w:trPr>
        <w:tc>
          <w:tcPr>
            <w:tcW w:w="1346" w:type="dxa"/>
            <w:tcBorders>
              <w:bottom w:val="single" w:sz="2" w:space="0" w:color="E3E7EC"/>
            </w:tcBorders>
            <w:shd w:val="clear" w:color="auto" w:fill="FFFFFF"/>
          </w:tcPr>
          <w:p>
            <w:pPr>
              <w:spacing w:before="0" w:after="0" w:line="250" w:lineRule="auto"/>
              <w:jc w:val="left"/>
            </w:pPr>
          </w:p>
        </w:tc>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Government and CSR-funded skilling programmes</w:t>
            </w:r>
          </w:p>
        </w:tc>
        <w:tc>
          <w:tcPr>
            <w:tcW w:w="404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Large-ticket revenue, though with longer credit periods</w:t>
            </w:r>
          </w:p>
        </w:tc>
      </w:tr>
      <w:tr>
        <w:trPr>
          <w:cantSplit/>
        </w:trPr>
        <w:tc>
          <w:tcPr>
            <w:tcW w:w="1346" w:type="dxa"/>
            <w:tcBorders>
              <w:bottom w:val="single" w:sz="2" w:space="0" w:color="E3E7EC"/>
            </w:tcBorders>
            <w:shd w:val="clear" w:color="auto" w:fill="FAFBFD"/>
          </w:tcPr>
          <w:p>
            <w:pPr>
              <w:spacing w:before="0" w:after="0" w:line="250" w:lineRule="auto"/>
              <w:jc w:val="left"/>
            </w:pPr>
          </w:p>
        </w:tc>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Reuse of content across cohorts</w:t>
            </w:r>
          </w:p>
        </w:tc>
        <w:tc>
          <w:tcPr>
            <w:tcW w:w="404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Falling variable cost per intern and a rising contribution margin</w:t>
            </w:r>
          </w:p>
        </w:tc>
      </w:tr>
      <w:tr>
        <w:trPr>
          <w:cantSplit/>
        </w:trPr>
        <w:tc>
          <w:tcPr>
            <w:tcW w:w="1346" w:type="dxa"/>
            <w:tcBorders>
              <w:bottom w:val="single" w:sz="2" w:space="0" w:color="E3E7EC"/>
            </w:tcBorders>
            <w:shd w:val="clear" w:color="auto" w:fill="1B4B8A"/>
          </w:tcPr>
          <w:p>
            <w:pPr>
              <w:spacing w:before="0" w:after="0" w:line="250" w:lineRule="auto"/>
              <w:jc w:val="left"/>
            </w:pPr>
            <w:r>
              <w:rPr>
                <w:rFonts w:ascii="Arial" w:hAnsi="Arial" w:cs="Arial"/>
                <w:b/>
                <w:color w:val="FFFFFF"/>
                <w:sz w:val="16"/>
                <w:szCs w:val="16"/>
              </w:rPr>
              <w:t xml:space="preserve">Threats</w:t>
            </w:r>
          </w:p>
        </w:tc>
        <w:tc>
          <w:tcPr>
            <w:tcW w:w="4231" w:type="dxa"/>
            <w:tcBorders>
              <w:bottom w:val="single" w:sz="2" w:space="0" w:color="E3E7EC"/>
            </w:tcBorders>
            <w:shd w:val="clear" w:color="auto" w:fill="1B4B8A"/>
          </w:tcPr>
          <w:p>
            <w:pPr>
              <w:spacing w:before="0" w:after="0" w:line="250" w:lineRule="auto"/>
              <w:jc w:val="left"/>
            </w:pPr>
          </w:p>
        </w:tc>
        <w:tc>
          <w:tcPr>
            <w:tcW w:w="4041" w:type="dxa"/>
            <w:tcBorders>
              <w:bottom w:val="single" w:sz="2" w:space="0" w:color="E3E7EC"/>
            </w:tcBorders>
            <w:shd w:val="clear" w:color="auto" w:fill="1B4B8A"/>
          </w:tcPr>
          <w:p>
            <w:pPr>
              <w:spacing w:before="0" w:after="0" w:line="250" w:lineRule="auto"/>
              <w:jc w:val="left"/>
            </w:pPr>
          </w:p>
        </w:tc>
      </w:tr>
      <w:tr>
        <w:trPr>
          <w:cantSplit/>
        </w:trPr>
        <w:tc>
          <w:tcPr>
            <w:tcW w:w="1346" w:type="dxa"/>
            <w:tcBorders>
              <w:bottom w:val="single" w:sz="2" w:space="0" w:color="E3E7EC"/>
            </w:tcBorders>
            <w:shd w:val="clear" w:color="auto" w:fill="FAFBFD"/>
          </w:tcPr>
          <w:p>
            <w:pPr>
              <w:spacing w:before="0" w:after="0" w:line="250" w:lineRule="auto"/>
              <w:jc w:val="left"/>
            </w:pPr>
          </w:p>
        </w:tc>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Price competition from national platforms</w:t>
            </w:r>
          </w:p>
        </w:tc>
        <w:tc>
          <w:tcPr>
            <w:tcW w:w="404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Pressure on the profit-volume ratio of 53.44 per cent</w:t>
            </w:r>
          </w:p>
        </w:tc>
      </w:tr>
      <w:tr>
        <w:trPr>
          <w:cantSplit/>
        </w:trPr>
        <w:tc>
          <w:tcPr>
            <w:tcW w:w="1346" w:type="dxa"/>
            <w:tcBorders>
              <w:bottom w:val="single" w:sz="2" w:space="0" w:color="E3E7EC"/>
            </w:tcBorders>
            <w:shd w:val="clear" w:color="auto" w:fill="FFFFFF"/>
          </w:tcPr>
          <w:p>
            <w:pPr>
              <w:spacing w:before="0" w:after="0" w:line="250" w:lineRule="auto"/>
              <w:jc w:val="left"/>
            </w:pPr>
          </w:p>
        </w:tc>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Dependence on a panel of external mentors</w:t>
            </w:r>
          </w:p>
        </w:tc>
        <w:tc>
          <w:tcPr>
            <w:tcW w:w="404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Rising honoraria would directly compress contribution</w:t>
            </w:r>
          </w:p>
        </w:tc>
      </w:tr>
      <w:tr>
        <w:trPr>
          <w:cantSplit/>
        </w:trPr>
        <w:tc>
          <w:tcPr>
            <w:tcW w:w="1346" w:type="dxa"/>
            <w:tcBorders>
              <w:bottom w:val="single" w:sz="2" w:space="0" w:color="E3E7EC"/>
            </w:tcBorders>
            <w:shd w:val="clear" w:color="auto" w:fill="FAFBFD"/>
          </w:tcPr>
          <w:p>
            <w:pPr>
              <w:spacing w:before="0" w:after="0" w:line="250" w:lineRule="auto"/>
              <w:jc w:val="left"/>
            </w:pPr>
          </w:p>
        </w:tc>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Seasonal concentration of enrolment</w:t>
            </w:r>
          </w:p>
        </w:tc>
        <w:tc>
          <w:tcPr>
            <w:tcW w:w="404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Third-quarter revenue of only ₹ 41.20 lakh against ₹ 62.30 lakh in the first quarter</w:t>
            </w:r>
          </w:p>
        </w:tc>
      </w:tr>
    </w:tbl>
    <w:p>
      <w:pPr>
        <w:spacing w:before="0" w:after="0"/>
      </w:pPr>
      <w:r>
        <w:rPr>
          <w:sz w:val="16"/>
        </w:rPr>
        <w:t/>
      </w:r>
    </w:p>
    <w:p>
      <w:r>
        <w:br w:type="page"/>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0" w:type="dxa"/>
          <w:left w:w="160" w:type="dxa"/>
          <w:bottom w:w="140" w:type="dxa"/>
          <w:right w:w="120" w:type="dxa"/>
        </w:tblCellMar>
      </w:tblPr>
      <w:tblGrid>
        <w:gridCol w:w="1731"/>
        <w:gridCol w:w="7887"/>
      </w:tblGrid>
      <w:tr>
        <w:trPr>
          <w:cantSplit/>
        </w:trPr>
        <w:tc>
          <w:tcPr>
            <w:tcW w:w="1731" w:type="dxa"/>
            <w:shd w:val="clear" w:color="auto" w:fill="122F5C"/>
            <w:vAlign w:val="center"/>
          </w:tcPr>
          <w:p>
            <w:pPr>
              <w:spacing w:before="0" w:after="20"/>
            </w:pPr>
            <w:r>
              <w:rPr>
                <w:rFonts w:ascii="Arial" w:hAnsi="Arial" w:cs="Arial"/>
                <w:b/>
                <w:color w:val="4F9EE3"/>
                <w:spacing w:val="60"/>
                <w:sz w:val="16"/>
                <w:szCs w:val="16"/>
              </w:rPr>
              <w:t xml:space="preserve">CHAPTER</w:t>
            </w:r>
          </w:p>
          <w:p>
            <w:pPr>
              <w:spacing w:before="0" w:after="0"/>
            </w:pPr>
            <w:r>
              <w:rPr>
                <w:rFonts w:ascii="Arial" w:hAnsi="Arial" w:cs="Arial"/>
                <w:b/>
                <w:color w:val="E87A1E"/>
                <w:sz w:val="62"/>
                <w:szCs w:val="62"/>
              </w:rPr>
              <w:t xml:space="preserve">3</w:t>
            </w:r>
          </w:p>
        </w:tc>
        <w:tc>
          <w:tcPr>
            <w:tcW w:w="7887" w:type="dxa"/>
            <w:shd w:val="clear" w:color="auto" w:fill="122F5C"/>
            <w:vAlign w:val="center"/>
          </w:tcPr>
          <w:p>
            <w:pPr>
              <w:spacing w:before="60" w:after="0"/>
            </w:pPr>
            <w:r>
              <w:rPr>
                <w:rFonts w:ascii="Arial" w:hAnsi="Arial" w:cs="Arial"/>
                <w:b/>
                <w:color w:val="FFFFFF"/>
                <w:sz w:val="38"/>
                <w:szCs w:val="38"/>
              </w:rPr>
              <w:t xml:space="preserve">INTERNSHIP TASKS</w:t>
            </w:r>
          </w:p>
        </w:tc>
      </w:tr>
    </w:tbl>
    <w:p>
      <w:pPr>
        <w:pBdr>
          <w:bottom w:val="single" w:sz="18" w:space="2" w:color="E87A1E"/>
        </w:pBdr>
        <w:spacing w:before="0" w:after="0"/>
      </w:pPr>
    </w:p>
    <w:p>
      <w:pPr>
        <w:spacing w:before="140" w:after="160" w:line="280" w:lineRule="auto"/>
        <w:jc w:val="both"/>
      </w:pPr>
      <w:r>
        <w:rPr>
          <w:rFonts w:ascii="Times New Roman" w:hAnsi="Times New Roman" w:cs="Times New Roman"/>
          <w:i/>
          <w:color w:val="444A55"/>
          <w:sz w:val="21"/>
          <w:szCs w:val="21"/>
        </w:rPr>
        <w:t xml:space="preserve">A week-by-week record of the work actually performed, the deliverables produced and the skills each task required.</w:t>
      </w:r>
    </w:p>
    <w:p>
      <w:pPr>
        <w:pBdr>
          <w:left w:val="single" w:sz="14" w:space="8" w:color="4F9EE3"/>
        </w:pBdr>
        <w:spacing w:before="120" w:after="180" w:line="288" w:lineRule="auto"/>
        <w:ind w:left="200" w:right="0" w:firstLine="0"/>
      </w:pPr>
      <w:r>
        <w:rPr>
          <w:rFonts w:ascii="Times New Roman" w:hAnsi="Times New Roman" w:cs="Times New Roman"/>
          <w:i/>
          <w:color w:val="1B4B8A"/>
          <w:sz w:val="24"/>
          <w:szCs w:val="24"/>
        </w:rPr>
        <w:t xml:space="preserve">The internship was organised as a progression rather than a rotation: each week's work depended on an understanding acquired in the week before, so that the analysis of Chapters Four to Six could rest on records the intern had personally handled.</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3.1  Terms of the Internship</w:t>
      </w:r>
    </w:p>
    <w:p>
      <w:pPr>
        <w:keepNext/>
        <w:keepLines/>
        <w:spacing w:before="220" w:after="60"/>
      </w:pPr>
      <w:r>
        <w:rPr>
          <w:rFonts w:ascii="Arial" w:hAnsi="Arial" w:cs="Arial"/>
          <w:b/>
          <w:color w:val="E87A1E"/>
          <w:sz w:val="19"/>
          <w:szCs w:val="19"/>
        </w:rPr>
        <w:t xml:space="preserve">Table 3.1  </w:t>
      </w:r>
      <w:r>
        <w:rPr>
          <w:rFonts w:ascii="Arial" w:hAnsi="Arial" w:cs="Arial"/>
          <w:b/>
          <w:color w:val="122F5C"/>
          <w:sz w:val="19"/>
          <w:szCs w:val="19"/>
        </w:rPr>
        <w:t xml:space="preserve">Particulars of the internship</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3270"/>
        <w:gridCol w:w="6348"/>
      </w:tblGrid>
      <w:tr>
        <w:trPr>
          <w:cantSplit/>
          <w:tblHeader/>
        </w:trPr>
        <w:tc>
          <w:tcPr>
            <w:tcW w:w="3270" w:type="dxa"/>
            <w:shd w:val="clear" w:color="auto" w:fill="122F5C"/>
            <w:vAlign w:val="center"/>
          </w:tcPr>
          <w:p>
            <w:pPr>
              <w:spacing w:before="0" w:after="0"/>
              <w:jc w:val="left"/>
            </w:pPr>
            <w:r>
              <w:rPr>
                <w:rFonts w:ascii="Arial" w:hAnsi="Arial" w:cs="Arial"/>
                <w:b/>
                <w:color w:val="FFFFFF"/>
                <w:sz w:val="18"/>
                <w:szCs w:val="18"/>
              </w:rPr>
              <w:t xml:space="preserve">Particulars</w:t>
            </w:r>
          </w:p>
        </w:tc>
        <w:tc>
          <w:tcPr>
            <w:tcW w:w="6348" w:type="dxa"/>
            <w:shd w:val="clear" w:color="auto" w:fill="122F5C"/>
            <w:vAlign w:val="center"/>
          </w:tcPr>
          <w:p>
            <w:pPr>
              <w:spacing w:before="0" w:after="0"/>
              <w:jc w:val="left"/>
            </w:pPr>
            <w:r>
              <w:rPr>
                <w:rFonts w:ascii="Arial" w:hAnsi="Arial" w:cs="Arial"/>
                <w:b/>
                <w:color w:val="FFFFFF"/>
                <w:sz w:val="18"/>
                <w:szCs w:val="18"/>
              </w:rPr>
              <w:t xml:space="preserve">Details</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Organisation</w:t>
            </w:r>
          </w:p>
        </w:tc>
        <w:tc>
          <w:tcPr>
            <w:tcW w:w="634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Infinity Interns (Infinitya1 Career Counselling Private Limited)</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Location</w:t>
            </w:r>
          </w:p>
        </w:tc>
        <w:tc>
          <w:tcPr>
            <w:tcW w:w="634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B-Hub, Maurya Lok Complex, Patna</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Function assigned</w:t>
            </w:r>
          </w:p>
        </w:tc>
        <w:tc>
          <w:tcPr>
            <w:tcW w:w="634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Finance and Accounts</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Designation</w:t>
            </w:r>
          </w:p>
        </w:tc>
        <w:tc>
          <w:tcPr>
            <w:tcW w:w="634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Summer Intern — Finance</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Period</w:t>
            </w:r>
          </w:p>
        </w:tc>
        <w:tc>
          <w:tcPr>
            <w:tcW w:w="634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6th June 2026 to 21st July 2026</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Duration</w:t>
            </w:r>
          </w:p>
        </w:tc>
        <w:tc>
          <w:tcPr>
            <w:tcW w:w="634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Six Weeks and Five Days (46 Days)</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Working pattern</w:t>
            </w:r>
          </w:p>
        </w:tc>
        <w:tc>
          <w:tcPr>
            <w:tcW w:w="634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Six days a week, Monday to Saturday</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Reporting</w:t>
            </w:r>
          </w:p>
        </w:tc>
        <w:tc>
          <w:tcPr>
            <w:tcW w:w="634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Company mentor, with a weekly review meeting every Saturday</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Mode</w:t>
            </w:r>
          </w:p>
        </w:tc>
        <w:tc>
          <w:tcPr>
            <w:tcW w:w="634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In-person at the B-Hub facility, with limited remote work on report compilation</w:t>
            </w:r>
          </w:p>
        </w:tc>
      </w:tr>
    </w:tbl>
    <w:p>
      <w:pPr>
        <w:spacing w:before="0" w:after="0"/>
      </w:pPr>
      <w:r>
        <w:rPr>
          <w:sz w:val="16"/>
        </w:rPr>
        <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3.2  Overview of the Work Programme</w:t>
      </w:r>
    </w:p>
    <w:p>
      <w:pPr>
        <w:keepNext/>
        <w:keepLines/>
        <w:spacing w:before="220" w:after="60"/>
      </w:pPr>
      <w:r>
        <w:rPr>
          <w:rFonts w:ascii="Arial" w:hAnsi="Arial" w:cs="Arial"/>
          <w:b/>
          <w:color w:val="E87A1E"/>
          <w:sz w:val="19"/>
          <w:szCs w:val="19"/>
        </w:rPr>
        <w:t xml:space="preserve">Table 3.2  </w:t>
      </w:r>
      <w:r>
        <w:rPr>
          <w:rFonts w:ascii="Arial" w:hAnsi="Arial" w:cs="Arial"/>
          <w:b/>
          <w:color w:val="122F5C"/>
          <w:sz w:val="19"/>
          <w:szCs w:val="19"/>
        </w:rPr>
        <w:t xml:space="preserve">Week-wise work programme</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961"/>
        <w:gridCol w:w="2115"/>
        <w:gridCol w:w="6542"/>
      </w:tblGrid>
      <w:tr>
        <w:trPr>
          <w:cantSplit/>
          <w:tblHeader/>
        </w:trPr>
        <w:tc>
          <w:tcPr>
            <w:tcW w:w="961" w:type="dxa"/>
            <w:shd w:val="clear" w:color="auto" w:fill="122F5C"/>
            <w:vAlign w:val="center"/>
          </w:tcPr>
          <w:p>
            <w:pPr>
              <w:spacing w:before="0" w:after="0"/>
              <w:jc w:val="left"/>
            </w:pPr>
            <w:r>
              <w:rPr>
                <w:rFonts w:ascii="Arial" w:hAnsi="Arial" w:cs="Arial"/>
                <w:b/>
                <w:color w:val="FFFFFF"/>
                <w:sz w:val="17"/>
                <w:szCs w:val="17"/>
              </w:rPr>
              <w:t xml:space="preserve">Week</w:t>
            </w:r>
          </w:p>
        </w:tc>
        <w:tc>
          <w:tcPr>
            <w:tcW w:w="2115" w:type="dxa"/>
            <w:shd w:val="clear" w:color="auto" w:fill="122F5C"/>
            <w:vAlign w:val="center"/>
          </w:tcPr>
          <w:p>
            <w:pPr>
              <w:spacing w:before="0" w:after="0"/>
              <w:jc w:val="left"/>
            </w:pPr>
            <w:r>
              <w:rPr>
                <w:rFonts w:ascii="Arial" w:hAnsi="Arial" w:cs="Arial"/>
                <w:b/>
                <w:color w:val="FFFFFF"/>
                <w:sz w:val="17"/>
                <w:szCs w:val="17"/>
              </w:rPr>
              <w:t xml:space="preserve">Dates</w:t>
            </w:r>
          </w:p>
        </w:tc>
        <w:tc>
          <w:tcPr>
            <w:tcW w:w="6542" w:type="dxa"/>
            <w:shd w:val="clear" w:color="auto" w:fill="122F5C"/>
            <w:vAlign w:val="center"/>
          </w:tcPr>
          <w:p>
            <w:pPr>
              <w:spacing w:before="0" w:after="0"/>
              <w:jc w:val="left"/>
            </w:pPr>
            <w:r>
              <w:rPr>
                <w:rFonts w:ascii="Arial" w:hAnsi="Arial" w:cs="Arial"/>
                <w:b/>
                <w:color w:val="FFFFFF"/>
                <w:sz w:val="17"/>
                <w:szCs w:val="17"/>
              </w:rPr>
              <w:t xml:space="preserve">Area of work</w:t>
            </w:r>
          </w:p>
        </w:tc>
      </w:tr>
      <w:tr>
        <w:trPr>
          <w:cantSplit/>
        </w:trPr>
        <w:tc>
          <w:tcPr>
            <w:tcW w:w="96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Week 1</w:t>
            </w:r>
          </w:p>
        </w:tc>
        <w:tc>
          <w:tcPr>
            <w:tcW w:w="211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08 Jun - 13 Jun 2026</w:t>
            </w:r>
          </w:p>
        </w:tc>
        <w:tc>
          <w:tcPr>
            <w:tcW w:w="6542"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Induction, orientation and organisation study</w:t>
            </w:r>
          </w:p>
        </w:tc>
      </w:tr>
      <w:tr>
        <w:trPr>
          <w:cantSplit/>
        </w:trPr>
        <w:tc>
          <w:tcPr>
            <w:tcW w:w="96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Week 2</w:t>
            </w:r>
          </w:p>
        </w:tc>
        <w:tc>
          <w:tcPr>
            <w:tcW w:w="211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15 Jun - 20 Jun 2026</w:t>
            </w:r>
          </w:p>
        </w:tc>
        <w:tc>
          <w:tcPr>
            <w:tcW w:w="6542"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Books of account and voucher verification</w:t>
            </w:r>
          </w:p>
        </w:tc>
      </w:tr>
      <w:tr>
        <w:trPr>
          <w:cantSplit/>
        </w:trPr>
        <w:tc>
          <w:tcPr>
            <w:tcW w:w="96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Week 3</w:t>
            </w:r>
          </w:p>
        </w:tc>
        <w:tc>
          <w:tcPr>
            <w:tcW w:w="211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22 Jun - 27 Jun 2026</w:t>
            </w:r>
          </w:p>
        </w:tc>
        <w:tc>
          <w:tcPr>
            <w:tcW w:w="6542"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Working capital and receivables management</w:t>
            </w:r>
          </w:p>
        </w:tc>
      </w:tr>
      <w:tr>
        <w:trPr>
          <w:cantSplit/>
        </w:trPr>
        <w:tc>
          <w:tcPr>
            <w:tcW w:w="96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Week 4</w:t>
            </w:r>
          </w:p>
        </w:tc>
        <w:tc>
          <w:tcPr>
            <w:tcW w:w="211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29 Jun - 04 Jul 2026</w:t>
            </w:r>
          </w:p>
        </w:tc>
        <w:tc>
          <w:tcPr>
            <w:tcW w:w="6542"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Budgeting and variance analysis</w:t>
            </w:r>
          </w:p>
        </w:tc>
      </w:tr>
      <w:tr>
        <w:trPr>
          <w:cantSplit/>
        </w:trPr>
        <w:tc>
          <w:tcPr>
            <w:tcW w:w="96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Week 5</w:t>
            </w:r>
          </w:p>
        </w:tc>
        <w:tc>
          <w:tcPr>
            <w:tcW w:w="211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06 Jul - 11 Jul 2026</w:t>
            </w:r>
          </w:p>
        </w:tc>
        <w:tc>
          <w:tcPr>
            <w:tcW w:w="6542"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Ratio analysis and performance interpretation</w:t>
            </w:r>
          </w:p>
        </w:tc>
      </w:tr>
      <w:tr>
        <w:trPr>
          <w:cantSplit/>
        </w:trPr>
        <w:tc>
          <w:tcPr>
            <w:tcW w:w="96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Week 6</w:t>
            </w:r>
          </w:p>
        </w:tc>
        <w:tc>
          <w:tcPr>
            <w:tcW w:w="211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13 Jul - 18 Jul 2026</w:t>
            </w:r>
          </w:p>
        </w:tc>
        <w:tc>
          <w:tcPr>
            <w:tcW w:w="6542"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Cost control study and CVP analysis</w:t>
            </w:r>
          </w:p>
        </w:tc>
      </w:tr>
      <w:tr>
        <w:trPr>
          <w:cantSplit/>
        </w:trPr>
        <w:tc>
          <w:tcPr>
            <w:tcW w:w="96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Week 7</w:t>
            </w:r>
          </w:p>
        </w:tc>
        <w:tc>
          <w:tcPr>
            <w:tcW w:w="211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20 Jul - 21 Jul 2026</w:t>
            </w:r>
          </w:p>
        </w:tc>
        <w:tc>
          <w:tcPr>
            <w:tcW w:w="6542"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Report compilation and presentation</w:t>
            </w:r>
          </w:p>
        </w:tc>
      </w:tr>
    </w:tbl>
    <w:p>
      <w:pPr>
        <w:spacing w:before="0" w:after="0"/>
      </w:pPr>
      <w:r>
        <w:rPr>
          <w:sz w:val="16"/>
        </w:rPr>
        <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3.3  Week One — Induction and Organisation Study</w:t>
      </w:r>
    </w:p>
    <w:p>
      <w:pPr>
        <w:spacing w:before="0" w:after="130" w:line="264" w:lineRule="auto"/>
        <w:jc w:val="both"/>
      </w:pPr>
      <w:r>
        <w:rPr>
          <w:rFonts w:ascii="Times New Roman" w:hAnsi="Times New Roman" w:cs="Times New Roman"/>
          <w:color w:val="1A1A1A"/>
          <w:sz w:val="21"/>
          <w:szCs w:val="21"/>
        </w:rPr>
        <w:t xml:space="preserve">The first week was devoted to understanding the organisation before attempting to analyse it. The company mentor explained the five service lines, the reporting structure and the statutory registrations, and the intern was taken through the sequence by which an enquiry becomes an enrolment, an enrolment becomes a collection, and a collection becomes an entry in the books.</w:t>
      </w:r>
    </w:p>
    <w:p>
      <w:pPr>
        <w:spacing w:before="0" w:after="130" w:line="264" w:lineRule="auto"/>
        <w:jc w:val="both"/>
      </w:pPr>
      <w:r>
        <w:rPr>
          <w:rFonts w:ascii="Times New Roman" w:hAnsi="Times New Roman" w:cs="Times New Roman"/>
          <w:color w:val="1A1A1A"/>
          <w:sz w:val="21"/>
          <w:szCs w:val="21"/>
        </w:rPr>
        <w:t xml:space="preserve">Two observations from this week shaped the remainder of the study. The first was that the organisation's cost structure is dominated by a single variable head — the cost of delivering a programme — and that everything else is broadly committed. The second was that revenue arrives on two entirely different terms depending on whether the customer is a student or an institution. Both observations are pursued quantitatively in Chapter Four.</w:t>
      </w:r>
    </w:p>
    <w:p>
      <w:pPr>
        <w:keepNext/>
        <w:keepLines/>
        <w:spacing w:before="200" w:after="80"/>
      </w:pPr>
      <w:r>
        <w:rPr>
          <w:rFonts w:ascii="Arial" w:hAnsi="Arial" w:cs="Arial"/>
          <w:b/>
          <w:color w:val="1B4B8A"/>
          <w:sz w:val="21"/>
          <w:szCs w:val="21"/>
        </w:rPr>
        <w:t xml:space="preserve">Deliverables</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 process note describing the enquiry-to-collection cycle, reproduced in substance in Section 2.6.</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An internal control checklist covering approval limits, segregation of duties and documentation requirements.</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 list of the accounting heads in use, with a note on the nature of each — the starting point for the cost behaviour study of Chapter Five.</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3.4  Week Two — Books of Account and Voucher Verification</w:t>
      </w:r>
    </w:p>
    <w:p>
      <w:pPr>
        <w:spacing w:before="0" w:after="130" w:line="264" w:lineRule="auto"/>
        <w:jc w:val="both"/>
      </w:pPr>
      <w:r>
        <w:rPr>
          <w:rFonts w:ascii="Times New Roman" w:hAnsi="Times New Roman" w:cs="Times New Roman"/>
          <w:color w:val="1A1A1A"/>
          <w:sz w:val="21"/>
          <w:szCs w:val="21"/>
        </w:rPr>
        <w:t xml:space="preserve">The second week was the most clerical and, in retrospect, the most valuable. The intern classified and verified vouchers, posted receipts and payments, and scrutinised ledgers for misclassification. The central task was the reconciliation of the payment-gateway settlement statement with recorded collections.</w:t>
      </w:r>
    </w:p>
    <w:p>
      <w:pPr>
        <w:spacing w:before="0" w:after="130" w:line="264" w:lineRule="auto"/>
        <w:jc w:val="both"/>
      </w:pPr>
      <w:r>
        <w:rPr>
          <w:rFonts w:ascii="Times New Roman" w:hAnsi="Times New Roman" w:cs="Times New Roman"/>
          <w:color w:val="1A1A1A"/>
          <w:sz w:val="21"/>
          <w:szCs w:val="21"/>
        </w:rPr>
        <w:t xml:space="preserve">That reconciliation taught a lesson no textbook had conveyed. The gateway settles net of its commission and settles on a lag, so the gross fee recorded against an enrolment, the net amount credited to the bank and the date on which it is credited are three different things. Recognising revenue gross and the commission as an expense — rather than recognising the net receipt as revenue — is the correct treatment, and it matters: netting would understate both turnover and cost and would distort the profit-volume ratio computed in Chapter Five.</w:t>
      </w:r>
    </w:p>
    <w:tbl>
      <w:tblPr>
        <w:tblW w:w="9618" w:type="dxa"/>
        <w:tblBorders>
          <w:top w:val="single" w:sz="4" w:space="0" w:color="FDEFDD"/>
          <w:left w:val="single" w:sz="24" w:space="0" w:color="E87A1E"/>
          <w:bottom w:val="single" w:sz="4" w:space="0" w:color="FDEFDD"/>
          <w:right w:val="single" w:sz="4" w:space="0" w:color="FDEFDD"/>
        </w:tblBorders>
        <w:tblCellMar>
          <w:top w:w="120" w:type="dxa"/>
          <w:left w:w="180" w:type="dxa"/>
          <w:bottom w:w="120" w:type="dxa"/>
          <w:right w:w="160" w:type="dxa"/>
        </w:tblCellMar>
      </w:tblPr>
      <w:tblGrid>
        <w:gridCol w:w="9618"/>
      </w:tblGrid>
      <w:tr>
        <w:tc>
          <w:tcPr>
            <w:tcW w:w="9618" w:type="dxa"/>
            <w:shd w:val="clear" w:color="auto" w:fill="FDEFDD"/>
          </w:tcPr>
          <w:p>
            <w:pPr>
              <w:spacing w:before="0" w:after="60"/>
            </w:pPr>
            <w:r>
              <w:rPr>
                <w:rFonts w:ascii="Arial" w:hAnsi="Arial" w:cs="Arial"/>
                <w:b/>
                <w:color w:val="E87A1E"/>
                <w:sz w:val="20"/>
                <w:szCs w:val="20"/>
              </w:rPr>
              <w:t xml:space="preserve">A Practical Discovery</w:t>
            </w:r>
          </w:p>
          <w:p>
            <w:pPr>
              <w:spacing w:before="0" w:after="0" w:line="250" w:lineRule="auto"/>
              <w:jc w:val="both"/>
            </w:pPr>
            <w:r>
              <w:rPr>
                <w:rFonts w:ascii="Times New Roman" w:hAnsi="Times New Roman" w:cs="Times New Roman"/>
                <w:color w:val="1A1A1A"/>
                <w:sz w:val="19"/>
                <w:szCs w:val="19"/>
              </w:rPr>
              <w:t xml:space="preserve">Three unreconciled gateway items from the preceding quarter were identified during this exercise and were traced to a failed settlement that had been re-credited under a different reference. The point is not the amount, which was small, but the demonstration that reconciliation is a control and not a formality.</w:t>
            </w:r>
          </w:p>
        </w:tc>
      </w:tr>
    </w:tbl>
    <w:p>
      <w:pPr>
        <w:spacing w:before="0" w:after="0"/>
      </w:pPr>
      <w:r>
        <w:rPr>
          <w:sz w:val="12"/>
        </w:rPr>
        <w:t/>
      </w:r>
    </w:p>
    <w:p>
      <w:pPr>
        <w:keepNext/>
        <w:keepLines/>
        <w:spacing w:before="200" w:after="80"/>
      </w:pPr>
      <w:r>
        <w:rPr>
          <w:rFonts w:ascii="Arial" w:hAnsi="Arial" w:cs="Arial"/>
          <w:b/>
          <w:color w:val="1B4B8A"/>
          <w:sz w:val="21"/>
          <w:szCs w:val="21"/>
        </w:rPr>
        <w:t xml:space="preserve">Deliverables</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 reconciliation statement between gateway settlements and recorded collections for the period under review.</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 schedule of unreconciled items with the reason for each.</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 note on the correct treatment of gateway commission, accepted by the accounts team.</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3.5  Week Three — Working Capital and Receivables</w:t>
      </w:r>
    </w:p>
    <w:p>
      <w:pPr>
        <w:spacing w:before="0" w:after="130" w:line="264" w:lineRule="auto"/>
        <w:jc w:val="both"/>
      </w:pPr>
      <w:r>
        <w:rPr>
          <w:rFonts w:ascii="Times New Roman" w:hAnsi="Times New Roman" w:cs="Times New Roman"/>
          <w:color w:val="1A1A1A"/>
          <w:sz w:val="21"/>
          <w:szCs w:val="21"/>
        </w:rPr>
        <w:t xml:space="preserve">The third week turned to working capital. The intern prepared an ageing analysis of trade receivables, maintained the follow-up register for institutional clients, computed debtor days and drew up a collection priority list.</w:t>
      </w:r>
    </w:p>
    <w:p>
      <w:pPr>
        <w:spacing w:before="0" w:after="130" w:line="264" w:lineRule="auto"/>
        <w:jc w:val="both"/>
      </w:pPr>
      <w:r>
        <w:rPr>
          <w:rFonts w:ascii="Times New Roman" w:hAnsi="Times New Roman" w:cs="Times New Roman"/>
          <w:color w:val="1A1A1A"/>
          <w:sz w:val="21"/>
          <w:szCs w:val="21"/>
        </w:rPr>
        <w:t xml:space="preserve">The ageing analysis produced the study's most important single finding. Because only the business-to-business line is sold on credit, the entire receivable balance of ₹ 23.10 lakh arises from revenue of about ₹ 34.90 lakh. The conventional debtor-days computation, which divides the receivable by total revenue, therefore reports a comfortable 34.0 days and conceals a credit period on the credit-sold portion that is several times longer. This is developed in Section 6.6 and appears as Finding 4 in Chapter Nine.</w:t>
      </w:r>
    </w:p>
    <w:p>
      <w:pPr>
        <w:keepNext/>
        <w:keepLines/>
        <w:spacing w:before="200" w:after="80"/>
      </w:pPr>
      <w:r>
        <w:rPr>
          <w:rFonts w:ascii="Arial" w:hAnsi="Arial" w:cs="Arial"/>
          <w:b/>
          <w:color w:val="1B4B8A"/>
          <w:sz w:val="21"/>
          <w:szCs w:val="21"/>
        </w:rPr>
        <w:t xml:space="preserve">Deliverables</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An ageing statement of trade receivables in the buckets reproduced as Table 4.7.</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 revised follow-up register with a defined escalation sequence.</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 computation of debtor days on both the conventional and the credit-sales basis, with a note explaining the difference.</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 collection priority list ranked by amount and age.</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3.6  Week Four — Budgeting and Variance Analysis</w:t>
      </w:r>
    </w:p>
    <w:p>
      <w:pPr>
        <w:spacing w:before="0" w:after="130" w:line="264" w:lineRule="auto"/>
        <w:jc w:val="both"/>
      </w:pPr>
      <w:r>
        <w:rPr>
          <w:rFonts w:ascii="Times New Roman" w:hAnsi="Times New Roman" w:cs="Times New Roman"/>
          <w:color w:val="1A1A1A"/>
          <w:sz w:val="21"/>
          <w:szCs w:val="21"/>
        </w:rPr>
        <w:t xml:space="preserve">The fourth week addressed budgeting. The intern built a cohort-wise cost sheet, compared budgeted against actual figures for each head, quantified the variances and attempted to separate the controllable from the uncontrollable.</w:t>
      </w:r>
    </w:p>
    <w:p>
      <w:pPr>
        <w:spacing w:before="0" w:after="130" w:line="264" w:lineRule="auto"/>
        <w:jc w:val="both"/>
      </w:pPr>
      <w:r>
        <w:rPr>
          <w:rFonts w:ascii="Times New Roman" w:hAnsi="Times New Roman" w:cs="Times New Roman"/>
          <w:color w:val="1A1A1A"/>
          <w:sz w:val="21"/>
          <w:szCs w:val="21"/>
        </w:rPr>
        <w:t xml:space="preserve">The exercise established that the organisation prepares a competent annual budget but reviews it against actuals only at the year end. Marketing and digital promotion had exceeded its provision by 10.33 per cent and direct programme cost by 4.34 per cent, while the favourable revenue variance of 4.68 per cent had masked both. A monthly review would have surfaced the marketing overspend by the second quarter, when it could still have been corrected.</w:t>
      </w:r>
    </w:p>
    <w:p>
      <w:pPr>
        <w:keepNext/>
        <w:keepLines/>
        <w:spacing w:before="200" w:after="80"/>
      </w:pPr>
      <w:r>
        <w:rPr>
          <w:rFonts w:ascii="Arial" w:hAnsi="Arial" w:cs="Arial"/>
          <w:b/>
          <w:color w:val="1B4B8A"/>
          <w:sz w:val="21"/>
          <w:szCs w:val="21"/>
        </w:rPr>
        <w:t xml:space="preserve">Deliverables</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 cohort-wise cost sheet showing contribution per intern.</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 budget-versus-actual variance statement, reproduced as Table 5.2.</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 draft format for a monthly variance report with a five per cent explanation threshold.</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3.7  Week Five — Ratio Analysis and Interpretation</w:t>
      </w:r>
    </w:p>
    <w:p>
      <w:pPr>
        <w:spacing w:before="0" w:after="130" w:line="264" w:lineRule="auto"/>
        <w:jc w:val="both"/>
      </w:pPr>
      <w:r>
        <w:rPr>
          <w:rFonts w:ascii="Times New Roman" w:hAnsi="Times New Roman" w:cs="Times New Roman"/>
          <w:color w:val="1A1A1A"/>
          <w:sz w:val="21"/>
          <w:szCs w:val="21"/>
        </w:rPr>
        <w:t xml:space="preserve">The fifth week was the analytical centre of the internship. Working from the three-year statements, the intern computed the liquidity, profitability, solvency and activity ratios set out in Chapter Six, prepared the trend charts and carried out the DuPont decomposition of return on equity.</w:t>
      </w:r>
    </w:p>
    <w:p>
      <w:pPr>
        <w:spacing w:before="0" w:after="130" w:line="264" w:lineRule="auto"/>
        <w:jc w:val="both"/>
      </w:pPr>
      <w:r>
        <w:rPr>
          <w:rFonts w:ascii="Times New Roman" w:hAnsi="Times New Roman" w:cs="Times New Roman"/>
          <w:color w:val="1A1A1A"/>
          <w:sz w:val="21"/>
          <w:szCs w:val="21"/>
        </w:rPr>
        <w:t xml:space="preserve">The DuPont exercise was the most instructive. Return on equity had risen from 21.21 per cent to 43.18 per cent, and the natural assumption was that leverage had contributed. Decomposition showed the opposite: the equity multiplier had </w:t>
      </w:r>
      <w:r>
        <w:rPr>
          <w:rFonts w:ascii="Times New Roman" w:hAnsi="Times New Roman" w:cs="Times New Roman"/>
          <w:i/>
          <w:color w:val="1A1A1A"/>
          <w:sz w:val="21"/>
          <w:szCs w:val="21"/>
        </w:rPr>
        <w:t xml:space="preserve">fallen</w:t>
      </w:r>
      <w:r>
        <w:rPr>
          <w:rFonts w:ascii="Times New Roman" w:hAnsi="Times New Roman" w:cs="Times New Roman"/>
          <w:color w:val="1A1A1A"/>
          <w:sz w:val="21"/>
          <w:szCs w:val="21"/>
        </w:rPr>
        <w:t xml:space="preserve"> from 2.69 to 1.88, so the entire improvement came from margin and asset turnover. The return had improved for the right reasons — a conclusion that could not have been reached from the headline ratio alone.</w:t>
      </w:r>
    </w:p>
    <w:p>
      <w:pPr>
        <w:keepNext/>
        <w:keepLines/>
        <w:spacing w:before="200" w:after="80"/>
      </w:pPr>
      <w:r>
        <w:rPr>
          <w:rFonts w:ascii="Arial" w:hAnsi="Arial" w:cs="Arial"/>
          <w:b/>
          <w:color w:val="1B4B8A"/>
          <w:sz w:val="21"/>
          <w:szCs w:val="21"/>
        </w:rPr>
        <w:t xml:space="preserve">Deliverables</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 three-year ratio schedule under four heads, reproduced as Tables 6.1 to 6.5.</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Common-size Statement of Profit and Loss and Balance Sheet.</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 DuPont decomposition for each of the three years.</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 cash flow statement under the indirect method, reconciled to the movement in cash.</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3.8  Week Six — Cost Control and CVP Analysis</w:t>
      </w:r>
    </w:p>
    <w:p>
      <w:pPr>
        <w:spacing w:before="0" w:after="130" w:line="264" w:lineRule="auto"/>
        <w:jc w:val="both"/>
      </w:pPr>
      <w:r>
        <w:rPr>
          <w:rFonts w:ascii="Times New Roman" w:hAnsi="Times New Roman" w:cs="Times New Roman"/>
          <w:color w:val="1A1A1A"/>
          <w:sz w:val="21"/>
          <w:szCs w:val="21"/>
        </w:rPr>
        <w:t xml:space="preserve">The sixth week applied cost accounting technique. Each expense head was examined and segregated into its fixed and variable components, from which the contribution, profit-volume ratio, break-even sales, margin of safety and the two leverages were derived.</w:t>
      </w:r>
    </w:p>
    <w:p>
      <w:pPr>
        <w:spacing w:before="0" w:after="130" w:line="264" w:lineRule="auto"/>
        <w:jc w:val="both"/>
      </w:pPr>
      <w:r>
        <w:rPr>
          <w:rFonts w:ascii="Times New Roman" w:hAnsi="Times New Roman" w:cs="Times New Roman"/>
          <w:color w:val="1A1A1A"/>
          <w:sz w:val="21"/>
          <w:szCs w:val="21"/>
        </w:rPr>
        <w:t xml:space="preserve">The segregation required judgement rather than arithmetic, and the marketing head illustrates why. Performance advertising scales directly with enrolment and is variable; brand-building and sponsorship do not and are committed. Discussion with management established a split of about fifty-five to forty-five, and the resulting break-even sales figure of ₹ 174.76 lakh is sensitive to that judgement. The sensitivity is stated openly in Section 5.6 and again among the limitations.</w:t>
      </w:r>
    </w:p>
    <w:p>
      <w:pPr>
        <w:keepNext/>
        <w:keepLines/>
        <w:spacing w:before="200" w:after="80"/>
      </w:pPr>
      <w:r>
        <w:rPr>
          <w:rFonts w:ascii="Arial" w:hAnsi="Arial" w:cs="Arial"/>
          <w:b/>
          <w:color w:val="1B4B8A"/>
          <w:sz w:val="21"/>
          <w:szCs w:val="21"/>
        </w:rPr>
        <w:t xml:space="preserve">Deliverables</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 fixed-variable cost segregation statement, reproduced as Table 5.5.</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 cost-volume-profit analysis with break-even sales and margin of safety.</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 computation of operating, financial and combined leverage.</w:t>
      </w:r>
    </w:p>
    <w:p>
      <w:pPr>
        <w:pStyle w:val="ListBullet"/>
        <w:spacing w:before="0" w:after="90" w:line="264" w:lineRule="auto"/>
        <w:ind w:left="360" w:right="0" w:hanging="220"/>
        <w:jc w:val="both"/>
      </w:pPr>
      <w:r>
        <w:rPr>
          <w:rFonts w:ascii="Times New Roman" w:hAnsi="Times New Roman" w:cs="Times New Roman"/>
          <w:color w:val="1A1A1A"/>
          <w:sz w:val="21"/>
          <w:szCs w:val="21"/>
        </w:rPr>
        <w:t xml:space="preserve">A sensitivity note showing the effect on break-even sales of varying the marketing split by ten percentage points either way.</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3.9  Week Seven — Compilation and Presentation</w:t>
      </w:r>
    </w:p>
    <w:p>
      <w:pPr>
        <w:spacing w:before="0" w:after="130" w:line="264" w:lineRule="auto"/>
        <w:jc w:val="both"/>
      </w:pPr>
      <w:r>
        <w:rPr>
          <w:rFonts w:ascii="Times New Roman" w:hAnsi="Times New Roman" w:cs="Times New Roman"/>
          <w:color w:val="1A1A1A"/>
          <w:sz w:val="21"/>
          <w:szCs w:val="21"/>
        </w:rPr>
        <w:t xml:space="preserve">The final two days were spent consolidating the findings, drafting the suggestions of Chapter Nine and presenting the concluding summary to the company mentor. The mentor's principal criticism — that an early draft recommended improvements without stating who would own them or how often they would be performed — led to the reframing of every suggestion in Chapter Nine in terms of an owner, a frequency and a measurable trigger. It was the most useful correction received during the internship.</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3.10  Skills Applied and Acquired</w:t>
      </w:r>
    </w:p>
    <w:p>
      <w:pPr>
        <w:keepNext/>
        <w:keepLines/>
        <w:spacing w:before="220" w:after="60"/>
      </w:pPr>
      <w:r>
        <w:rPr>
          <w:rFonts w:ascii="Arial" w:hAnsi="Arial" w:cs="Arial"/>
          <w:b/>
          <w:color w:val="E87A1E"/>
          <w:sz w:val="19"/>
          <w:szCs w:val="19"/>
        </w:rPr>
        <w:t xml:space="preserve">Table 3.3  </w:t>
      </w:r>
      <w:r>
        <w:rPr>
          <w:rFonts w:ascii="Arial" w:hAnsi="Arial" w:cs="Arial"/>
          <w:b/>
          <w:color w:val="122F5C"/>
          <w:sz w:val="19"/>
          <w:szCs w:val="19"/>
        </w:rPr>
        <w:t xml:space="preserve">Mapping of tasks to skills and to report chapters</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2885"/>
        <w:gridCol w:w="3270"/>
        <w:gridCol w:w="3463"/>
      </w:tblGrid>
      <w:tr>
        <w:trPr>
          <w:cantSplit/>
          <w:tblHeader/>
        </w:trPr>
        <w:tc>
          <w:tcPr>
            <w:tcW w:w="2885" w:type="dxa"/>
            <w:shd w:val="clear" w:color="auto" w:fill="122F5C"/>
            <w:vAlign w:val="center"/>
          </w:tcPr>
          <w:p>
            <w:pPr>
              <w:spacing w:before="0" w:after="0"/>
              <w:jc w:val="left"/>
            </w:pPr>
            <w:r>
              <w:rPr>
                <w:rFonts w:ascii="Arial" w:hAnsi="Arial" w:cs="Arial"/>
                <w:b/>
                <w:color w:val="FFFFFF"/>
                <w:sz w:val="17"/>
                <w:szCs w:val="17"/>
              </w:rPr>
              <w:t xml:space="preserve">Task</w:t>
            </w:r>
          </w:p>
        </w:tc>
        <w:tc>
          <w:tcPr>
            <w:tcW w:w="3270" w:type="dxa"/>
            <w:shd w:val="clear" w:color="auto" w:fill="122F5C"/>
            <w:vAlign w:val="center"/>
          </w:tcPr>
          <w:p>
            <w:pPr>
              <w:spacing w:before="0" w:after="0"/>
              <w:jc w:val="left"/>
            </w:pPr>
            <w:r>
              <w:rPr>
                <w:rFonts w:ascii="Arial" w:hAnsi="Arial" w:cs="Arial"/>
                <w:b/>
                <w:color w:val="FFFFFF"/>
                <w:sz w:val="17"/>
                <w:szCs w:val="17"/>
              </w:rPr>
              <w:t xml:space="preserve">Skill applied</w:t>
            </w:r>
          </w:p>
        </w:tc>
        <w:tc>
          <w:tcPr>
            <w:tcW w:w="3463" w:type="dxa"/>
            <w:shd w:val="clear" w:color="auto" w:fill="122F5C"/>
            <w:vAlign w:val="center"/>
          </w:tcPr>
          <w:p>
            <w:pPr>
              <w:spacing w:before="0" w:after="0"/>
              <w:jc w:val="left"/>
            </w:pPr>
            <w:r>
              <w:rPr>
                <w:rFonts w:ascii="Arial" w:hAnsi="Arial" w:cs="Arial"/>
                <w:b/>
                <w:color w:val="FFFFFF"/>
                <w:sz w:val="17"/>
                <w:szCs w:val="17"/>
              </w:rPr>
              <w:t xml:space="preserve">Feeds into</w:t>
            </w:r>
          </w:p>
        </w:tc>
      </w:tr>
      <w:tr>
        <w:trPr>
          <w:cantSplit/>
        </w:trPr>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Voucher classification and ledger scrutiny</w:t>
            </w:r>
          </w:p>
        </w:tc>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Accounting fundamentals, attention to documentation</w:t>
            </w:r>
          </w:p>
        </w:tc>
        <w:tc>
          <w:tcPr>
            <w:tcW w:w="346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Section 2.6 — the recording cycle</w:t>
            </w:r>
          </w:p>
        </w:tc>
      </w:tr>
      <w:tr>
        <w:trPr>
          <w:cantSplit/>
        </w:trPr>
        <w:tc>
          <w:tcPr>
            <w:tcW w:w="288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Gateway reconciliation</w:t>
            </w:r>
          </w:p>
        </w:tc>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Reconciliation technique, revenue recognition judgement</w:t>
            </w:r>
          </w:p>
        </w:tc>
        <w:tc>
          <w:tcPr>
            <w:tcW w:w="346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Section 4.2 — revenue analysis</w:t>
            </w:r>
          </w:p>
        </w:tc>
      </w:tr>
      <w:tr>
        <w:trPr>
          <w:cantSplit/>
        </w:trPr>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Receivable ageing and follow-up</w:t>
            </w:r>
          </w:p>
        </w:tc>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Working capital management, credit control</w:t>
            </w:r>
          </w:p>
        </w:tc>
        <w:tc>
          <w:tcPr>
            <w:tcW w:w="346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Sections 4.5 and 6.6 — liquidity and activity</w:t>
            </w:r>
          </w:p>
        </w:tc>
      </w:tr>
      <w:tr>
        <w:trPr>
          <w:cantSplit/>
        </w:trPr>
        <w:tc>
          <w:tcPr>
            <w:tcW w:w="288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Cohort cost sheet</w:t>
            </w:r>
          </w:p>
        </w:tc>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Cost accounting, marginal costing</w:t>
            </w:r>
          </w:p>
        </w:tc>
        <w:tc>
          <w:tcPr>
            <w:tcW w:w="346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Sections 5.4 and 5.5 — cost behaviour and CVP</w:t>
            </w:r>
          </w:p>
        </w:tc>
      </w:tr>
      <w:tr>
        <w:trPr>
          <w:cantSplit/>
        </w:trPr>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Budget-versus-actual comparison</w:t>
            </w:r>
          </w:p>
        </w:tc>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Budgetary control, variance analysis</w:t>
            </w:r>
          </w:p>
        </w:tc>
        <w:tc>
          <w:tcPr>
            <w:tcW w:w="346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Section 5.3 — variance analysis</w:t>
            </w:r>
          </w:p>
        </w:tc>
      </w:tr>
      <w:tr>
        <w:trPr>
          <w:cantSplit/>
        </w:trPr>
        <w:tc>
          <w:tcPr>
            <w:tcW w:w="288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Ratio computation and DuPont</w:t>
            </w:r>
          </w:p>
        </w:tc>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Financial statement analysis, interpretation</w:t>
            </w:r>
          </w:p>
        </w:tc>
        <w:tc>
          <w:tcPr>
            <w:tcW w:w="346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Chapter Six — ratio analysis</w:t>
            </w:r>
          </w:p>
        </w:tc>
      </w:tr>
      <w:tr>
        <w:trPr>
          <w:cantSplit/>
        </w:trPr>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Cash flow construction</w:t>
            </w:r>
          </w:p>
        </w:tc>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Indirect method, reconciliation discipline</w:t>
            </w:r>
          </w:p>
        </w:tc>
        <w:tc>
          <w:tcPr>
            <w:tcW w:w="346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Section 4.6 — cash flow analysis</w:t>
            </w:r>
          </w:p>
        </w:tc>
      </w:tr>
      <w:tr>
        <w:trPr>
          <w:cantSplit/>
        </w:trPr>
        <w:tc>
          <w:tcPr>
            <w:tcW w:w="288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Report drafting and presentation</w:t>
            </w:r>
          </w:p>
        </w:tc>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Business writing, structuring of an argument</w:t>
            </w:r>
          </w:p>
        </w:tc>
        <w:tc>
          <w:tcPr>
            <w:tcW w:w="346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Chapters Nine and Ten</w:t>
            </w:r>
          </w:p>
        </w:tc>
      </w:tr>
    </w:tbl>
    <w:p>
      <w:pPr>
        <w:spacing w:before="0" w:after="0"/>
      </w:pPr>
      <w:r>
        <w:rPr>
          <w:sz w:val="16"/>
        </w:rPr>
        <w:t/>
      </w:r>
    </w:p>
    <w:p>
      <w:r>
        <w:br w:type="page"/>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0" w:type="dxa"/>
          <w:left w:w="160" w:type="dxa"/>
          <w:bottom w:w="140" w:type="dxa"/>
          <w:right w:w="120" w:type="dxa"/>
        </w:tblCellMar>
      </w:tblPr>
      <w:tblGrid>
        <w:gridCol w:w="1731"/>
        <w:gridCol w:w="7887"/>
      </w:tblGrid>
      <w:tr>
        <w:trPr>
          <w:cantSplit/>
        </w:trPr>
        <w:tc>
          <w:tcPr>
            <w:tcW w:w="1731" w:type="dxa"/>
            <w:shd w:val="clear" w:color="auto" w:fill="122F5C"/>
            <w:vAlign w:val="center"/>
          </w:tcPr>
          <w:p>
            <w:pPr>
              <w:spacing w:before="0" w:after="20"/>
            </w:pPr>
            <w:r>
              <w:rPr>
                <w:rFonts w:ascii="Arial" w:hAnsi="Arial" w:cs="Arial"/>
                <w:b/>
                <w:color w:val="4F9EE3"/>
                <w:spacing w:val="60"/>
                <w:sz w:val="16"/>
                <w:szCs w:val="16"/>
              </w:rPr>
              <w:t xml:space="preserve">CHAPTER</w:t>
            </w:r>
          </w:p>
          <w:p>
            <w:pPr>
              <w:spacing w:before="0" w:after="0"/>
            </w:pPr>
            <w:r>
              <w:rPr>
                <w:rFonts w:ascii="Arial" w:hAnsi="Arial" w:cs="Arial"/>
                <w:b/>
                <w:color w:val="E87A1E"/>
                <w:sz w:val="62"/>
                <w:szCs w:val="62"/>
              </w:rPr>
              <w:t xml:space="preserve">4</w:t>
            </w:r>
          </w:p>
        </w:tc>
        <w:tc>
          <w:tcPr>
            <w:tcW w:w="7887" w:type="dxa"/>
            <w:shd w:val="clear" w:color="auto" w:fill="122F5C"/>
            <w:vAlign w:val="center"/>
          </w:tcPr>
          <w:p>
            <w:pPr>
              <w:spacing w:before="60" w:after="0"/>
            </w:pPr>
            <w:r>
              <w:rPr>
                <w:rFonts w:ascii="Arial" w:hAnsi="Arial" w:cs="Arial"/>
                <w:b/>
                <w:color w:val="FFFFFF"/>
                <w:sz w:val="38"/>
                <w:szCs w:val="38"/>
              </w:rPr>
              <w:t xml:space="preserve">FINANCIAL MANAGEMENT ANALYSIS</w:t>
            </w:r>
          </w:p>
        </w:tc>
      </w:tr>
    </w:tbl>
    <w:p>
      <w:pPr>
        <w:pBdr>
          <w:bottom w:val="single" w:sz="18" w:space="2" w:color="E87A1E"/>
        </w:pBdr>
        <w:spacing w:before="0" w:after="0"/>
      </w:pPr>
    </w:p>
    <w:p>
      <w:pPr>
        <w:spacing w:before="140" w:after="160" w:line="280" w:lineRule="auto"/>
        <w:jc w:val="both"/>
      </w:pPr>
      <w:r>
        <w:rPr>
          <w:rFonts w:ascii="Times New Roman" w:hAnsi="Times New Roman" w:cs="Times New Roman"/>
          <w:i/>
          <w:color w:val="444A55"/>
          <w:sz w:val="21"/>
          <w:szCs w:val="21"/>
        </w:rPr>
        <w:t xml:space="preserve">An examination of how the organisation earns, spends, funds and converts its money: revenue structure, cost structure, profitability, working capital, cash flow and the pattern of financing.</w:t>
      </w:r>
    </w:p>
    <w:p>
      <w:pPr>
        <w:pBdr>
          <w:left w:val="single" w:sz="14" w:space="8" w:color="4F9EE3"/>
        </w:pBdr>
        <w:spacing w:before="120" w:after="180" w:line="288" w:lineRule="auto"/>
        <w:ind w:left="200" w:right="0" w:firstLine="0"/>
      </w:pPr>
      <w:r>
        <w:rPr>
          <w:rFonts w:ascii="Times New Roman" w:hAnsi="Times New Roman" w:cs="Times New Roman"/>
          <w:i/>
          <w:color w:val="1B4B8A"/>
          <w:sz w:val="24"/>
          <w:szCs w:val="24"/>
        </w:rPr>
        <w:t xml:space="preserve">Financial management asks four questions of any enterprise: where does the money come from, where does it go, how much of it stays, and does it actually arrive as cash. This chapter answers them in that order.</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4.1  The Statement of Profit and Loss</w:t>
      </w:r>
    </w:p>
    <w:p>
      <w:pPr>
        <w:spacing w:before="0" w:after="130" w:line="264" w:lineRule="auto"/>
        <w:jc w:val="both"/>
      </w:pPr>
      <w:r>
        <w:rPr>
          <w:rFonts w:ascii="Times New Roman" w:hAnsi="Times New Roman" w:cs="Times New Roman"/>
          <w:color w:val="1A1A1A"/>
          <w:sz w:val="21"/>
          <w:szCs w:val="21"/>
        </w:rPr>
        <w:t xml:space="preserve">The three-year Statement of Profit and Loss is set out below. It is the foundation for the whole of the remaining analysis, and every figure used elsewhere in this report is derived from it or from the Balance Sheet in Section 4.7.</w:t>
      </w:r>
    </w:p>
    <w:p>
      <w:pPr>
        <w:keepNext/>
        <w:keepLines/>
        <w:spacing w:before="220" w:after="60"/>
      </w:pPr>
      <w:r>
        <w:rPr>
          <w:rFonts w:ascii="Arial" w:hAnsi="Arial" w:cs="Arial"/>
          <w:b/>
          <w:color w:val="E87A1E"/>
          <w:sz w:val="19"/>
          <w:szCs w:val="19"/>
        </w:rPr>
        <w:t xml:space="preserve">Table 4.1  </w:t>
      </w:r>
      <w:r>
        <w:rPr>
          <w:rFonts w:ascii="Arial" w:hAnsi="Arial" w:cs="Arial"/>
          <w:b/>
          <w:color w:val="122F5C"/>
          <w:sz w:val="19"/>
          <w:szCs w:val="19"/>
        </w:rPr>
        <w:t xml:space="preserve">Statement of Profit and Loss for three years (₹ in lakh)</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3847"/>
        <w:gridCol w:w="1923"/>
        <w:gridCol w:w="1923"/>
        <w:gridCol w:w="1925"/>
      </w:tblGrid>
      <w:tr>
        <w:trPr>
          <w:cantSplit/>
          <w:tblHeader/>
        </w:trPr>
        <w:tc>
          <w:tcPr>
            <w:tcW w:w="3847" w:type="dxa"/>
            <w:shd w:val="clear" w:color="auto" w:fill="122F5C"/>
            <w:vAlign w:val="center"/>
          </w:tcPr>
          <w:p>
            <w:pPr>
              <w:spacing w:before="0" w:after="0"/>
              <w:jc w:val="left"/>
            </w:pPr>
            <w:r>
              <w:rPr>
                <w:rFonts w:ascii="Arial" w:hAnsi="Arial" w:cs="Arial"/>
                <w:b/>
                <w:color w:val="FFFFFF"/>
                <w:sz w:val="18"/>
                <w:szCs w:val="18"/>
              </w:rPr>
              <w:t xml:space="preserve">Particulars</w:t>
            </w:r>
          </w:p>
        </w:tc>
        <w:tc>
          <w:tcPr>
            <w:tcW w:w="1923" w:type="dxa"/>
            <w:shd w:val="clear" w:color="auto" w:fill="122F5C"/>
            <w:vAlign w:val="center"/>
          </w:tcPr>
          <w:p>
            <w:pPr>
              <w:spacing w:before="0" w:after="0"/>
              <w:jc w:val="right"/>
            </w:pPr>
            <w:r>
              <w:rPr>
                <w:rFonts w:ascii="Arial" w:hAnsi="Arial" w:cs="Arial"/>
                <w:b/>
                <w:color w:val="FFFFFF"/>
                <w:sz w:val="18"/>
                <w:szCs w:val="18"/>
              </w:rPr>
              <w:t xml:space="preserve">FY 2023-24</w:t>
            </w:r>
          </w:p>
        </w:tc>
        <w:tc>
          <w:tcPr>
            <w:tcW w:w="1923" w:type="dxa"/>
            <w:shd w:val="clear" w:color="auto" w:fill="122F5C"/>
            <w:vAlign w:val="center"/>
          </w:tcPr>
          <w:p>
            <w:pPr>
              <w:spacing w:before="0" w:after="0"/>
              <w:jc w:val="right"/>
            </w:pPr>
            <w:r>
              <w:rPr>
                <w:rFonts w:ascii="Arial" w:hAnsi="Arial" w:cs="Arial"/>
                <w:b/>
                <w:color w:val="FFFFFF"/>
                <w:sz w:val="18"/>
                <w:szCs w:val="18"/>
              </w:rPr>
              <w:t xml:space="preserve">FY 2024-25</w:t>
            </w:r>
          </w:p>
        </w:tc>
        <w:tc>
          <w:tcPr>
            <w:tcW w:w="1925" w:type="dxa"/>
            <w:shd w:val="clear" w:color="auto" w:fill="122F5C"/>
            <w:vAlign w:val="center"/>
          </w:tcPr>
          <w:p>
            <w:pPr>
              <w:spacing w:before="0" w:after="0"/>
              <w:jc w:val="right"/>
            </w:pPr>
            <w:r>
              <w:rPr>
                <w:rFonts w:ascii="Arial" w:hAnsi="Arial" w:cs="Arial"/>
                <w:b/>
                <w:color w:val="FFFFFF"/>
                <w:sz w:val="18"/>
                <w:szCs w:val="18"/>
              </w:rPr>
              <w:t xml:space="preserve">FY 2025-26</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Revenue from Operations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96.40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148.75</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214.60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Other Income</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1.20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2.05</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3.40</w:t>
            </w:r>
          </w:p>
        </w:tc>
      </w:tr>
      <w:tr>
        <w:trPr>
          <w:cantSplit/>
        </w:trPr>
        <w:tc>
          <w:tcPr>
            <w:tcW w:w="3847"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Total Income</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97.60</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150.80</w:t>
            </w:r>
          </w:p>
        </w:tc>
        <w:tc>
          <w:tcPr>
            <w:tcW w:w="1925"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218.00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Direct Programme Cost</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38.20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56.90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79.30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Employee Benefit Expenses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24.60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37.40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52.80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Marketing &amp; Digital Promotion</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14.80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22.60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33.10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Administrative &amp; Office Expenses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7.90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10.20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13.60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Technology &amp; Platform Expenses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4.60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6.80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9.40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Finance Cost</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1.10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1.40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1.60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Depreciation &amp; Amortisation</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2.20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2.80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3.50</w:t>
            </w:r>
          </w:p>
        </w:tc>
      </w:tr>
      <w:tr>
        <w:trPr>
          <w:cantSplit/>
        </w:trPr>
        <w:tc>
          <w:tcPr>
            <w:tcW w:w="3847"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Total Expenses</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93.40</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138.10</w:t>
            </w:r>
          </w:p>
        </w:tc>
        <w:tc>
          <w:tcPr>
            <w:tcW w:w="1925"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193.30</w:t>
            </w:r>
          </w:p>
        </w:tc>
      </w:tr>
      <w:tr>
        <w:trPr>
          <w:cantSplit/>
        </w:trPr>
        <w:tc>
          <w:tcPr>
            <w:tcW w:w="3847"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Profit Before Tax</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4.20</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12.70</w:t>
            </w:r>
          </w:p>
        </w:tc>
        <w:tc>
          <w:tcPr>
            <w:tcW w:w="1925"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24.70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Provision for Taxation</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1.05</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3.17</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6.17</w:t>
            </w:r>
          </w:p>
        </w:tc>
      </w:tr>
      <w:tr>
        <w:trPr>
          <w:cantSplit/>
        </w:trPr>
        <w:tc>
          <w:tcPr>
            <w:tcW w:w="3847"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Profit After Tax</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3.15</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9.53</w:t>
            </w:r>
          </w:p>
        </w:tc>
        <w:tc>
          <w:tcPr>
            <w:tcW w:w="1925"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18.53</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Indicative management figures compiled for academic analysis. Provision for taxation is computed at 25 per cent of profit before tax.</w:t>
      </w:r>
    </w:p>
    <w:p>
      <w:pPr>
        <w:spacing w:before="80" w:after="80"/>
        <w:jc w:val="center"/>
      </w:pPr>
      <w:r>
        <w:drawing>
          <wp:inline distT="0" distB="0" distL="0" distR="0">
            <wp:extent cx="5308600" cy="3185160"/>
            <wp:docPr id="5" name="Picture 5"/>
            <a:graphic>
              <a:graphicData uri="http://schemas.openxmlformats.org/drawingml/2006/picture">
                <pic:pic>
                  <pic:nvPicPr>
                    <pic:cNvPr id="5" name="fig02_income_expense.png"/>
                    <pic:cNvPicPr/>
                  </pic:nvPicPr>
                  <pic:blipFill>
                    <a:blip r:embed="rId104"/>
                    <a:stretch>
                      <a:fillRect/>
                    </a:stretch>
                  </pic:blipFill>
                  <pic:spPr>
                    <a:xfrm>
                      <a:off x="0" y="0"/>
                      <a:ext cx="5308600" cy="3185160"/>
                    </a:xfrm>
                    <a:prstGeom prst="rect">
                      <a:avLst/>
                    </a:prstGeom>
                  </pic:spPr>
                </pic:pic>
              </a:graphicData>
            </a:graphic>
          </wp:inline>
        </w:drawing>
      </w:r>
    </w:p>
    <w:p>
      <w:pPr>
        <w:spacing w:before="20" w:after="40"/>
        <w:jc w:val="center"/>
      </w:pPr>
      <w:r>
        <w:rPr>
          <w:rFonts w:ascii="Arial" w:hAnsi="Arial" w:cs="Arial"/>
          <w:b/>
          <w:color w:val="E87A1E"/>
          <w:sz w:val="18"/>
          <w:szCs w:val="18"/>
        </w:rPr>
        <w:t xml:space="preserve">Figure 4.1  </w:t>
      </w:r>
      <w:r>
        <w:rPr>
          <w:rFonts w:ascii="Arial" w:hAnsi="Arial" w:cs="Arial"/>
          <w:color w:val="444A55"/>
          <w:sz w:val="18"/>
          <w:szCs w:val="18"/>
        </w:rPr>
        <w:t xml:space="preserve">Total income against total expenditure and profit before tax</w:t>
      </w:r>
    </w:p>
    <w:p>
      <w:pPr>
        <w:spacing w:before="0" w:after="180"/>
        <w:jc w:val="center"/>
      </w:pPr>
      <w:r>
        <w:rPr>
          <w:rFonts w:ascii="Times New Roman" w:hAnsi="Times New Roman" w:cs="Times New Roman"/>
          <w:i/>
          <w:color w:val="8A919C"/>
          <w:sz w:val="16"/>
          <w:szCs w:val="16"/>
        </w:rPr>
        <w:t xml:space="preserve">Computed from Table 4.1.</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4.2  Analysis of Revenue</w:t>
      </w:r>
    </w:p>
    <w:p>
      <w:pPr>
        <w:spacing w:before="0" w:after="130" w:line="264" w:lineRule="auto"/>
        <w:jc w:val="both"/>
      </w:pPr>
      <w:r>
        <w:rPr>
          <w:rFonts w:ascii="Times New Roman" w:hAnsi="Times New Roman" w:cs="Times New Roman"/>
          <w:color w:val="1A1A1A"/>
          <w:sz w:val="21"/>
          <w:szCs w:val="21"/>
        </w:rPr>
        <w:t xml:space="preserve">Revenue from operations grew from ₹ 96.40 lakh in FY 2023-24 to ₹ 148.75 lakh in FY 2024-25 and ₹ 214.60 lakh in FY 2025-26 — increases of 54.3 per cent and 44.3 per cent respectively. Growth has decelerated slightly in percentage terms, which is arithmetically inevitable on a rising base, but the absolute increment has widened from ₹ 52.35 lakh to ₹ 65.85 lakh.</w:t>
      </w:r>
    </w:p>
    <w:p>
      <w:pPr>
        <w:keepNext/>
        <w:keepLines/>
        <w:spacing w:before="200" w:after="80"/>
      </w:pPr>
      <w:r>
        <w:rPr>
          <w:rFonts w:ascii="Arial" w:hAnsi="Arial" w:cs="Arial"/>
          <w:b/>
          <w:color w:val="1B4B8A"/>
          <w:sz w:val="21"/>
          <w:szCs w:val="21"/>
        </w:rPr>
        <w:t xml:space="preserve">4.2.1  Composition of Revenue</w:t>
      </w:r>
    </w:p>
    <w:p>
      <w:pPr>
        <w:spacing w:before="0" w:after="130" w:line="264" w:lineRule="auto"/>
        <w:jc w:val="both"/>
      </w:pPr>
      <w:r>
        <w:rPr>
          <w:rFonts w:ascii="Times New Roman" w:hAnsi="Times New Roman" w:cs="Times New Roman"/>
          <w:color w:val="1A1A1A"/>
          <w:sz w:val="21"/>
          <w:szCs w:val="21"/>
        </w:rPr>
        <w:t xml:space="preserve">The five service lines contribute very unequally. Paid internship programmes at ₹ 112.80 lakh account for 52.56 per cent of turnover; the remaining four together account for the balance. The concentration is a strength in that it reflects a proven core product, and a weakness in that a regulatory or competitive shock to that single line would affect more than half of revenue.</w:t>
      </w:r>
    </w:p>
    <w:p>
      <w:pPr>
        <w:keepNext/>
        <w:keepLines/>
        <w:spacing w:before="200" w:after="80"/>
      </w:pPr>
      <w:r>
        <w:rPr>
          <w:rFonts w:ascii="Arial" w:hAnsi="Arial" w:cs="Arial"/>
          <w:b/>
          <w:color w:val="1B4B8A"/>
          <w:sz w:val="21"/>
          <w:szCs w:val="21"/>
        </w:rPr>
        <w:t xml:space="preserve">4.2.2  Seasonality</w:t>
      </w:r>
    </w:p>
    <w:p>
      <w:pPr>
        <w:spacing w:before="0" w:after="130" w:line="264" w:lineRule="auto"/>
        <w:jc w:val="both"/>
      </w:pPr>
      <w:r>
        <w:rPr>
          <w:rFonts w:ascii="Times New Roman" w:hAnsi="Times New Roman" w:cs="Times New Roman"/>
          <w:color w:val="1A1A1A"/>
          <w:sz w:val="21"/>
          <w:szCs w:val="21"/>
        </w:rPr>
        <w:t xml:space="preserve">Revenue is materially seasonal. The first quarter, which coincides with the opening of the summer internship cycle, contributed ₹ 62.30 lakh, while the third quarter contributed only ₹ 41.20 lakh — a difference of about 51 per cent between the peak and the trough. Since a substantial part of the cost base is committed and does not fall with revenue, the third quarter is the period of greatest financial strain. The absence of a formal cash budget for that quarter is noted as a finding in Chapter Nine.</w:t>
      </w:r>
    </w:p>
    <w:p>
      <w:pPr>
        <w:spacing w:before="80" w:after="80"/>
        <w:jc w:val="center"/>
      </w:pPr>
      <w:r>
        <w:drawing>
          <wp:inline distT="0" distB="0" distL="0" distR="0">
            <wp:extent cx="5308600" cy="3185160"/>
            <wp:docPr id="6" name="Picture 6"/>
            <a:graphic>
              <a:graphicData uri="http://schemas.openxmlformats.org/drawingml/2006/picture">
                <pic:pic>
                  <pic:nvPicPr>
                    <pic:cNvPr id="6" name="fig06_seasonality.png"/>
                    <pic:cNvPicPr/>
                  </pic:nvPicPr>
                  <pic:blipFill>
                    <a:blip r:embed="rId105"/>
                    <a:stretch>
                      <a:fillRect/>
                    </a:stretch>
                  </pic:blipFill>
                  <pic:spPr>
                    <a:xfrm>
                      <a:off x="0" y="0"/>
                      <a:ext cx="5308600" cy="3185160"/>
                    </a:xfrm>
                    <a:prstGeom prst="rect">
                      <a:avLst/>
                    </a:prstGeom>
                  </pic:spPr>
                </pic:pic>
              </a:graphicData>
            </a:graphic>
          </wp:inline>
        </w:drawing>
      </w:r>
    </w:p>
    <w:p>
      <w:pPr>
        <w:spacing w:before="20" w:after="40"/>
        <w:jc w:val="center"/>
      </w:pPr>
      <w:r>
        <w:rPr>
          <w:rFonts w:ascii="Arial" w:hAnsi="Arial" w:cs="Arial"/>
          <w:b/>
          <w:color w:val="E87A1E"/>
          <w:sz w:val="18"/>
          <w:szCs w:val="18"/>
        </w:rPr>
        <w:t xml:space="preserve">Figure 4.2  </w:t>
      </w:r>
      <w:r>
        <w:rPr>
          <w:rFonts w:ascii="Arial" w:hAnsi="Arial" w:cs="Arial"/>
          <w:color w:val="444A55"/>
          <w:sz w:val="18"/>
          <w:szCs w:val="18"/>
        </w:rPr>
        <w:t xml:space="preserve">Quarterly pattern of revenue, FY 2025-26</w:t>
      </w:r>
    </w:p>
    <w:p>
      <w:pPr>
        <w:spacing w:before="0" w:after="180"/>
        <w:jc w:val="center"/>
      </w:pPr>
      <w:r>
        <w:rPr>
          <w:rFonts w:ascii="Times New Roman" w:hAnsi="Times New Roman" w:cs="Times New Roman"/>
          <w:i/>
          <w:color w:val="8A919C"/>
          <w:sz w:val="16"/>
          <w:szCs w:val="16"/>
        </w:rPr>
        <w:t xml:space="preserve">Compiled from monthly collection statements.</w:t>
      </w:r>
    </w:p>
    <w:p>
      <w:pPr>
        <w:keepNext/>
        <w:keepLines/>
        <w:spacing w:before="220" w:after="60"/>
      </w:pPr>
      <w:r>
        <w:rPr>
          <w:rFonts w:ascii="Arial" w:hAnsi="Arial" w:cs="Arial"/>
          <w:b/>
          <w:color w:val="E87A1E"/>
          <w:sz w:val="19"/>
          <w:szCs w:val="19"/>
        </w:rPr>
        <w:t xml:space="preserve">Table 4.2  </w:t>
      </w:r>
      <w:r>
        <w:rPr>
          <w:rFonts w:ascii="Arial" w:hAnsi="Arial" w:cs="Arial"/>
          <w:b/>
          <w:color w:val="122F5C"/>
          <w:sz w:val="19"/>
          <w:szCs w:val="19"/>
        </w:rPr>
        <w:t xml:space="preserve">Quarterly revenue and share of the year, FY 2025-26</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2693"/>
        <w:gridCol w:w="2308"/>
        <w:gridCol w:w="2308"/>
        <w:gridCol w:w="2309"/>
      </w:tblGrid>
      <w:tr>
        <w:trPr>
          <w:cantSplit/>
          <w:tblHeader/>
        </w:trPr>
        <w:tc>
          <w:tcPr>
            <w:tcW w:w="2693" w:type="dxa"/>
            <w:shd w:val="clear" w:color="auto" w:fill="122F5C"/>
            <w:vAlign w:val="center"/>
          </w:tcPr>
          <w:p>
            <w:pPr>
              <w:spacing w:before="0" w:after="0"/>
              <w:jc w:val="left"/>
            </w:pPr>
            <w:r>
              <w:rPr>
                <w:rFonts w:ascii="Arial" w:hAnsi="Arial" w:cs="Arial"/>
                <w:b/>
                <w:color w:val="FFFFFF"/>
                <w:sz w:val="18"/>
                <w:szCs w:val="18"/>
              </w:rPr>
              <w:t xml:space="preserve">Quarter</w:t>
            </w:r>
          </w:p>
        </w:tc>
        <w:tc>
          <w:tcPr>
            <w:tcW w:w="2308" w:type="dxa"/>
            <w:shd w:val="clear" w:color="auto" w:fill="122F5C"/>
            <w:vAlign w:val="center"/>
          </w:tcPr>
          <w:p>
            <w:pPr>
              <w:spacing w:before="0" w:after="0"/>
              <w:jc w:val="right"/>
            </w:pPr>
            <w:r>
              <w:rPr>
                <w:rFonts w:ascii="Arial" w:hAnsi="Arial" w:cs="Arial"/>
                <w:b/>
                <w:color w:val="FFFFFF"/>
                <w:sz w:val="18"/>
                <w:szCs w:val="18"/>
              </w:rPr>
              <w:t xml:space="preserve">Revenue (₹ L)</w:t>
            </w:r>
          </w:p>
        </w:tc>
        <w:tc>
          <w:tcPr>
            <w:tcW w:w="2308" w:type="dxa"/>
            <w:shd w:val="clear" w:color="auto" w:fill="122F5C"/>
            <w:vAlign w:val="center"/>
          </w:tcPr>
          <w:p>
            <w:pPr>
              <w:spacing w:before="0" w:after="0"/>
              <w:jc w:val="right"/>
            </w:pPr>
            <w:r>
              <w:rPr>
                <w:rFonts w:ascii="Arial" w:hAnsi="Arial" w:cs="Arial"/>
                <w:b/>
                <w:color w:val="FFFFFF"/>
                <w:sz w:val="18"/>
                <w:szCs w:val="18"/>
              </w:rPr>
              <w:t xml:space="preserve">Share of year</w:t>
            </w:r>
          </w:p>
        </w:tc>
        <w:tc>
          <w:tcPr>
            <w:tcW w:w="2309" w:type="dxa"/>
            <w:shd w:val="clear" w:color="auto" w:fill="122F5C"/>
            <w:vAlign w:val="center"/>
          </w:tcPr>
          <w:p>
            <w:pPr>
              <w:spacing w:before="0" w:after="0"/>
              <w:jc w:val="right"/>
            </w:pPr>
            <w:r>
              <w:rPr>
                <w:rFonts w:ascii="Arial" w:hAnsi="Arial" w:cs="Arial"/>
                <w:b/>
                <w:color w:val="FFFFFF"/>
                <w:sz w:val="18"/>
                <w:szCs w:val="18"/>
              </w:rPr>
              <w:t xml:space="preserve">Index (average = 100)</w:t>
            </w:r>
          </w:p>
        </w:tc>
      </w:tr>
      <w:tr>
        <w:trPr>
          <w:cantSplit/>
        </w:trPr>
        <w:tc>
          <w:tcPr>
            <w:tcW w:w="269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Q1 Apr-Jun</w:t>
            </w:r>
          </w:p>
        </w:tc>
        <w:tc>
          <w:tcPr>
            <w:tcW w:w="230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62.30</w:t>
            </w:r>
          </w:p>
        </w:tc>
        <w:tc>
          <w:tcPr>
            <w:tcW w:w="230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29.03</w:t>
            </w:r>
          </w:p>
        </w:tc>
        <w:tc>
          <w:tcPr>
            <w:tcW w:w="2309"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116</w:t>
            </w:r>
          </w:p>
        </w:tc>
      </w:tr>
      <w:tr>
        <w:trPr>
          <w:cantSplit/>
        </w:trPr>
        <w:tc>
          <w:tcPr>
            <w:tcW w:w="269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Q2 Jul-Sep</w:t>
            </w:r>
          </w:p>
        </w:tc>
        <w:tc>
          <w:tcPr>
            <w:tcW w:w="230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58.40</w:t>
            </w:r>
          </w:p>
        </w:tc>
        <w:tc>
          <w:tcPr>
            <w:tcW w:w="230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27.21</w:t>
            </w:r>
          </w:p>
        </w:tc>
        <w:tc>
          <w:tcPr>
            <w:tcW w:w="2309"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109</w:t>
            </w:r>
          </w:p>
        </w:tc>
      </w:tr>
      <w:tr>
        <w:trPr>
          <w:cantSplit/>
        </w:trPr>
        <w:tc>
          <w:tcPr>
            <w:tcW w:w="269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Q3 Oct-Dec</w:t>
            </w:r>
          </w:p>
        </w:tc>
        <w:tc>
          <w:tcPr>
            <w:tcW w:w="230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41.20</w:t>
            </w:r>
          </w:p>
        </w:tc>
        <w:tc>
          <w:tcPr>
            <w:tcW w:w="230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19.20</w:t>
            </w:r>
          </w:p>
        </w:tc>
        <w:tc>
          <w:tcPr>
            <w:tcW w:w="2309"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77</w:t>
            </w:r>
          </w:p>
        </w:tc>
      </w:tr>
      <w:tr>
        <w:trPr>
          <w:cantSplit/>
        </w:trPr>
        <w:tc>
          <w:tcPr>
            <w:tcW w:w="269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Q4 Jan-Mar</w:t>
            </w:r>
          </w:p>
        </w:tc>
        <w:tc>
          <w:tcPr>
            <w:tcW w:w="230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52.70</w:t>
            </w:r>
          </w:p>
        </w:tc>
        <w:tc>
          <w:tcPr>
            <w:tcW w:w="230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24.56</w:t>
            </w:r>
          </w:p>
        </w:tc>
        <w:tc>
          <w:tcPr>
            <w:tcW w:w="2309"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98</w:t>
            </w:r>
          </w:p>
        </w:tc>
      </w:tr>
      <w:tr>
        <w:trPr>
          <w:cantSplit/>
        </w:trPr>
        <w:tc>
          <w:tcPr>
            <w:tcW w:w="2693"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Total</w:t>
            </w:r>
          </w:p>
        </w:tc>
        <w:tc>
          <w:tcPr>
            <w:tcW w:w="2308"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214.60</w:t>
            </w:r>
          </w:p>
        </w:tc>
        <w:tc>
          <w:tcPr>
            <w:tcW w:w="2308"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100.00</w:t>
            </w:r>
          </w:p>
        </w:tc>
        <w:tc>
          <w:tcPr>
            <w:tcW w:w="2309"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100</w:t>
            </w:r>
          </w:p>
        </w:tc>
      </w:tr>
    </w:tbl>
    <w:p>
      <w:pPr>
        <w:spacing w:before="0" w:after="0"/>
      </w:pPr>
      <w:r>
        <w:rPr>
          <w:sz w:val="16"/>
        </w:rPr>
        <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4.3  Analysis of Cost Structure</w:t>
      </w:r>
    </w:p>
    <w:p>
      <w:pPr>
        <w:spacing w:before="0" w:after="130" w:line="264" w:lineRule="auto"/>
        <w:jc w:val="both"/>
      </w:pPr>
      <w:r>
        <w:rPr>
          <w:rFonts w:ascii="Times New Roman" w:hAnsi="Times New Roman" w:cs="Times New Roman"/>
          <w:color w:val="1A1A1A"/>
          <w:sz w:val="21"/>
          <w:szCs w:val="21"/>
        </w:rPr>
        <w:t xml:space="preserve">Total expenditure rose from ₹ 93.40 lakh to ₹ 193.30 lakh over the period, an increase of 107.0 per cent, against a revenue increase of 122.6 per cent. That costs grew more slowly than revenue is the arithmetic source of the entire improvement in margin, and the reason is that a largely committed overhead base was spread over a much larger turnover.</w:t>
      </w:r>
    </w:p>
    <w:p>
      <w:pPr>
        <w:spacing w:before="80" w:after="80"/>
        <w:jc w:val="center"/>
      </w:pPr>
      <w:r>
        <w:drawing>
          <wp:inline distT="0" distB="0" distL="0" distR="0">
            <wp:extent cx="5308600" cy="3185160"/>
            <wp:docPr id="7" name="Picture 7"/>
            <a:graphic>
              <a:graphicData uri="http://schemas.openxmlformats.org/drawingml/2006/picture">
                <pic:pic>
                  <pic:nvPicPr>
                    <pic:cNvPr id="7" name="fig04_cost_structure.png"/>
                    <pic:cNvPicPr/>
                  </pic:nvPicPr>
                  <pic:blipFill>
                    <a:blip r:embed="rId106"/>
                    <a:stretch>
                      <a:fillRect/>
                    </a:stretch>
                  </pic:blipFill>
                  <pic:spPr>
                    <a:xfrm>
                      <a:off x="0" y="0"/>
                      <a:ext cx="5308600" cy="3185160"/>
                    </a:xfrm>
                    <a:prstGeom prst="rect">
                      <a:avLst/>
                    </a:prstGeom>
                  </pic:spPr>
                </pic:pic>
              </a:graphicData>
            </a:graphic>
          </wp:inline>
        </w:drawing>
      </w:r>
    </w:p>
    <w:p>
      <w:pPr>
        <w:spacing w:before="20" w:after="40"/>
        <w:jc w:val="center"/>
      </w:pPr>
      <w:r>
        <w:rPr>
          <w:rFonts w:ascii="Arial" w:hAnsi="Arial" w:cs="Arial"/>
          <w:b/>
          <w:color w:val="E87A1E"/>
          <w:sz w:val="18"/>
          <w:szCs w:val="18"/>
        </w:rPr>
        <w:t xml:space="preserve">Figure 4.3  </w:t>
      </w:r>
      <w:r>
        <w:rPr>
          <w:rFonts w:ascii="Arial" w:hAnsi="Arial" w:cs="Arial"/>
          <w:color w:val="444A55"/>
          <w:sz w:val="18"/>
          <w:szCs w:val="18"/>
        </w:rPr>
        <w:t xml:space="preserve">Structure of total expenditure, FY 2025-26</w:t>
      </w:r>
    </w:p>
    <w:p>
      <w:pPr>
        <w:spacing w:before="0" w:after="180"/>
        <w:jc w:val="center"/>
      </w:pPr>
      <w:r>
        <w:rPr>
          <w:rFonts w:ascii="Times New Roman" w:hAnsi="Times New Roman" w:cs="Times New Roman"/>
          <w:i/>
          <w:color w:val="8A919C"/>
          <w:sz w:val="16"/>
          <w:szCs w:val="16"/>
        </w:rPr>
        <w:t xml:space="preserve">Computed from Table 4.1.</w:t>
      </w:r>
    </w:p>
    <w:p>
      <w:pPr>
        <w:keepNext/>
        <w:keepLines/>
        <w:spacing w:before="200" w:after="80"/>
      </w:pPr>
      <w:r>
        <w:rPr>
          <w:rFonts w:ascii="Arial" w:hAnsi="Arial" w:cs="Arial"/>
          <w:b/>
          <w:color w:val="1B4B8A"/>
          <w:sz w:val="21"/>
          <w:szCs w:val="21"/>
        </w:rPr>
        <w:t xml:space="preserve">4.3.1  Common-size Analysis</w:t>
      </w:r>
    </w:p>
    <w:p>
      <w:pPr>
        <w:spacing w:before="0" w:after="130" w:line="264" w:lineRule="auto"/>
        <w:jc w:val="both"/>
      </w:pPr>
      <w:r>
        <w:rPr>
          <w:rFonts w:ascii="Times New Roman" w:hAnsi="Times New Roman" w:cs="Times New Roman"/>
          <w:color w:val="1A1A1A"/>
          <w:sz w:val="21"/>
          <w:szCs w:val="21"/>
        </w:rPr>
        <w:t xml:space="preserve">Expressing each head as a percentage of revenue separates a change in structure from a change in scale. The table below does this for all three years, and it is the most revealing single exhibit in the chapter.</w:t>
      </w:r>
    </w:p>
    <w:p>
      <w:pPr>
        <w:keepNext/>
        <w:keepLines/>
        <w:spacing w:before="220" w:after="60"/>
      </w:pPr>
      <w:r>
        <w:rPr>
          <w:rFonts w:ascii="Arial" w:hAnsi="Arial" w:cs="Arial"/>
          <w:b/>
          <w:color w:val="E87A1E"/>
          <w:sz w:val="19"/>
          <w:szCs w:val="19"/>
        </w:rPr>
        <w:t xml:space="preserve">Table 4.3  </w:t>
      </w:r>
      <w:r>
        <w:rPr>
          <w:rFonts w:ascii="Arial" w:hAnsi="Arial" w:cs="Arial"/>
          <w:b/>
          <w:color w:val="122F5C"/>
          <w:sz w:val="19"/>
          <w:szCs w:val="19"/>
        </w:rPr>
        <w:t xml:space="preserve">Common-size Statement of Profit and Loss (percentage of revenue from operations)</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3847"/>
        <w:gridCol w:w="1923"/>
        <w:gridCol w:w="1923"/>
        <w:gridCol w:w="1925"/>
      </w:tblGrid>
      <w:tr>
        <w:trPr>
          <w:cantSplit/>
          <w:tblHeader/>
        </w:trPr>
        <w:tc>
          <w:tcPr>
            <w:tcW w:w="3847" w:type="dxa"/>
            <w:shd w:val="clear" w:color="auto" w:fill="122F5C"/>
            <w:vAlign w:val="center"/>
          </w:tcPr>
          <w:p>
            <w:pPr>
              <w:spacing w:before="0" w:after="0"/>
              <w:jc w:val="left"/>
            </w:pPr>
            <w:r>
              <w:rPr>
                <w:rFonts w:ascii="Arial" w:hAnsi="Arial" w:cs="Arial"/>
                <w:b/>
                <w:color w:val="FFFFFF"/>
                <w:sz w:val="18"/>
                <w:szCs w:val="18"/>
              </w:rPr>
              <w:t xml:space="preserve">Particulars</w:t>
            </w:r>
          </w:p>
        </w:tc>
        <w:tc>
          <w:tcPr>
            <w:tcW w:w="1923" w:type="dxa"/>
            <w:shd w:val="clear" w:color="auto" w:fill="122F5C"/>
            <w:vAlign w:val="center"/>
          </w:tcPr>
          <w:p>
            <w:pPr>
              <w:spacing w:before="0" w:after="0"/>
              <w:jc w:val="right"/>
            </w:pPr>
            <w:r>
              <w:rPr>
                <w:rFonts w:ascii="Arial" w:hAnsi="Arial" w:cs="Arial"/>
                <w:b/>
                <w:color w:val="FFFFFF"/>
                <w:sz w:val="18"/>
                <w:szCs w:val="18"/>
              </w:rPr>
              <w:t xml:space="preserve">FY 2023-24</w:t>
            </w:r>
          </w:p>
        </w:tc>
        <w:tc>
          <w:tcPr>
            <w:tcW w:w="1923" w:type="dxa"/>
            <w:shd w:val="clear" w:color="auto" w:fill="122F5C"/>
            <w:vAlign w:val="center"/>
          </w:tcPr>
          <w:p>
            <w:pPr>
              <w:spacing w:before="0" w:after="0"/>
              <w:jc w:val="right"/>
            </w:pPr>
            <w:r>
              <w:rPr>
                <w:rFonts w:ascii="Arial" w:hAnsi="Arial" w:cs="Arial"/>
                <w:b/>
                <w:color w:val="FFFFFF"/>
                <w:sz w:val="18"/>
                <w:szCs w:val="18"/>
              </w:rPr>
              <w:t xml:space="preserve">FY 2024-25</w:t>
            </w:r>
          </w:p>
        </w:tc>
        <w:tc>
          <w:tcPr>
            <w:tcW w:w="1925" w:type="dxa"/>
            <w:shd w:val="clear" w:color="auto" w:fill="122F5C"/>
            <w:vAlign w:val="center"/>
          </w:tcPr>
          <w:p>
            <w:pPr>
              <w:spacing w:before="0" w:after="0"/>
              <w:jc w:val="right"/>
            </w:pPr>
            <w:r>
              <w:rPr>
                <w:rFonts w:ascii="Arial" w:hAnsi="Arial" w:cs="Arial"/>
                <w:b/>
                <w:color w:val="FFFFFF"/>
                <w:sz w:val="18"/>
                <w:szCs w:val="18"/>
              </w:rPr>
              <w:t xml:space="preserve">FY 2025-26</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Revenue from Operations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100.00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100.00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100.00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Direct Programme Cost</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39.63</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38.25</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36.95</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Employee Benefit Expenses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25.52</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25.14</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24.60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Marketing &amp; Digital Promotion</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15.35</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15.19</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15.42</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Administrative &amp; Office Expenses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8.20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6.86</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6.34</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Technology &amp; Platform Expenses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4.77</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4.57</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4.38</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Finance Cost</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1.14</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0.94</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0.75</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Depreciation &amp; Amortisation</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2.28</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1.88</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1.63</w:t>
            </w:r>
          </w:p>
        </w:tc>
      </w:tr>
      <w:tr>
        <w:trPr>
          <w:cantSplit/>
        </w:trPr>
        <w:tc>
          <w:tcPr>
            <w:tcW w:w="3847"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Profit Before Tax</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4.36</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8.54</w:t>
            </w:r>
          </w:p>
        </w:tc>
        <w:tc>
          <w:tcPr>
            <w:tcW w:w="1925"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11.51</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Read down each column to see structure; read across each row to see the direction of change.</w:t>
      </w:r>
    </w:p>
    <w:p>
      <w:pPr>
        <w:spacing w:before="0" w:after="130" w:line="264" w:lineRule="auto"/>
        <w:jc w:val="both"/>
      </w:pPr>
      <w:r>
        <w:rPr>
          <w:rFonts w:ascii="Times New Roman" w:hAnsi="Times New Roman" w:cs="Times New Roman"/>
          <w:color w:val="1A1A1A"/>
          <w:sz w:val="21"/>
          <w:szCs w:val="21"/>
        </w:rPr>
        <w:t xml:space="preserve">Three movements in Table 4.3 deserve comment. Direct programme cost fell from 39.63 per cent of revenue to 36.95 per cent, which indicates that content and assessment material is being reused across cohorts and that the marginal cost of an additional intern is falling. Employee benefit expenses fell from 25.52 per cent to 24.60 per cent, the classic signature of operating leverage in a service business. Marketing, by contrast, has held almost constant at about 15.4 per cent of revenue, which means that revenue growth is still being bought rather than compounding from reputation and referral — the single most important qualification to an otherwise favourable cost story.</w:t>
      </w:r>
    </w:p>
    <w:p>
      <w:pPr>
        <w:spacing w:before="80" w:after="80"/>
        <w:jc w:val="center"/>
      </w:pPr>
      <w:r>
        <w:drawing>
          <wp:inline distT="0" distB="0" distL="0" distR="0">
            <wp:extent cx="5308600" cy="3185160"/>
            <wp:docPr id="8" name="Picture 8"/>
            <a:graphic>
              <a:graphicData uri="http://schemas.openxmlformats.org/drawingml/2006/picture">
                <pic:pic>
                  <pic:nvPicPr>
                    <pic:cNvPr id="8" name="fig05_expense_trend.png"/>
                    <pic:cNvPicPr/>
                  </pic:nvPicPr>
                  <pic:blipFill>
                    <a:blip r:embed="rId107"/>
                    <a:stretch>
                      <a:fillRect/>
                    </a:stretch>
                  </pic:blipFill>
                  <pic:spPr>
                    <a:xfrm>
                      <a:off x="0" y="0"/>
                      <a:ext cx="5308600" cy="3185160"/>
                    </a:xfrm>
                    <a:prstGeom prst="rect">
                      <a:avLst/>
                    </a:prstGeom>
                  </pic:spPr>
                </pic:pic>
              </a:graphicData>
            </a:graphic>
          </wp:inline>
        </w:drawing>
      </w:r>
    </w:p>
    <w:p>
      <w:pPr>
        <w:spacing w:before="20" w:after="40"/>
        <w:jc w:val="center"/>
      </w:pPr>
      <w:r>
        <w:rPr>
          <w:rFonts w:ascii="Arial" w:hAnsi="Arial" w:cs="Arial"/>
          <w:b/>
          <w:color w:val="E87A1E"/>
          <w:sz w:val="18"/>
          <w:szCs w:val="18"/>
        </w:rPr>
        <w:t xml:space="preserve">Figure 4.4  </w:t>
      </w:r>
      <w:r>
        <w:rPr>
          <w:rFonts w:ascii="Arial" w:hAnsi="Arial" w:cs="Arial"/>
          <w:color w:val="444A55"/>
          <w:sz w:val="18"/>
          <w:szCs w:val="18"/>
        </w:rPr>
        <w:t xml:space="preserve">Behaviour of major expense heads over three years</w:t>
      </w:r>
    </w:p>
    <w:p>
      <w:pPr>
        <w:spacing w:before="0" w:after="180"/>
        <w:jc w:val="center"/>
      </w:pPr>
      <w:r>
        <w:rPr>
          <w:rFonts w:ascii="Times New Roman" w:hAnsi="Times New Roman" w:cs="Times New Roman"/>
          <w:i/>
          <w:color w:val="8A919C"/>
          <w:sz w:val="16"/>
          <w:szCs w:val="16"/>
        </w:rPr>
        <w:t xml:space="preserve">Computed from Table 4.1.</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4.4  Profitability</w:t>
      </w:r>
    </w:p>
    <w:p>
      <w:pPr>
        <w:spacing w:before="0" w:after="130" w:line="264" w:lineRule="auto"/>
        <w:jc w:val="both"/>
      </w:pPr>
      <w:r>
        <w:rPr>
          <w:rFonts w:ascii="Times New Roman" w:hAnsi="Times New Roman" w:cs="Times New Roman"/>
          <w:color w:val="1A1A1A"/>
          <w:sz w:val="21"/>
          <w:szCs w:val="21"/>
        </w:rPr>
        <w:t xml:space="preserve">Profitability has improved at every level of the statement, and the improvement is progressive rather than the result of a single favourable year.</w:t>
      </w:r>
    </w:p>
    <w:p>
      <w:pPr>
        <w:keepNext/>
        <w:keepLines/>
        <w:spacing w:before="220" w:after="60"/>
      </w:pPr>
      <w:r>
        <w:rPr>
          <w:rFonts w:ascii="Arial" w:hAnsi="Arial" w:cs="Arial"/>
          <w:b/>
          <w:color w:val="E87A1E"/>
          <w:sz w:val="19"/>
          <w:szCs w:val="19"/>
        </w:rPr>
        <w:t xml:space="preserve">Table 4.4  </w:t>
      </w:r>
      <w:r>
        <w:rPr>
          <w:rFonts w:ascii="Arial" w:hAnsi="Arial" w:cs="Arial"/>
          <w:b/>
          <w:color w:val="122F5C"/>
          <w:sz w:val="19"/>
          <w:szCs w:val="19"/>
        </w:rPr>
        <w:t xml:space="preserve">Profitability summary (₹ in lakh and per cent)</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3847"/>
        <w:gridCol w:w="1923"/>
        <w:gridCol w:w="1923"/>
        <w:gridCol w:w="1925"/>
      </w:tblGrid>
      <w:tr>
        <w:trPr>
          <w:cantSplit/>
          <w:tblHeader/>
        </w:trPr>
        <w:tc>
          <w:tcPr>
            <w:tcW w:w="3847" w:type="dxa"/>
            <w:shd w:val="clear" w:color="auto" w:fill="122F5C"/>
            <w:vAlign w:val="center"/>
          </w:tcPr>
          <w:p>
            <w:pPr>
              <w:spacing w:before="0" w:after="0"/>
              <w:jc w:val="left"/>
            </w:pPr>
            <w:r>
              <w:rPr>
                <w:rFonts w:ascii="Arial" w:hAnsi="Arial" w:cs="Arial"/>
                <w:b/>
                <w:color w:val="FFFFFF"/>
                <w:sz w:val="18"/>
                <w:szCs w:val="18"/>
              </w:rPr>
              <w:t xml:space="preserve">Particulars</w:t>
            </w:r>
          </w:p>
        </w:tc>
        <w:tc>
          <w:tcPr>
            <w:tcW w:w="1923" w:type="dxa"/>
            <w:shd w:val="clear" w:color="auto" w:fill="122F5C"/>
            <w:vAlign w:val="center"/>
          </w:tcPr>
          <w:p>
            <w:pPr>
              <w:spacing w:before="0" w:after="0"/>
              <w:jc w:val="right"/>
            </w:pPr>
            <w:r>
              <w:rPr>
                <w:rFonts w:ascii="Arial" w:hAnsi="Arial" w:cs="Arial"/>
                <w:b/>
                <w:color w:val="FFFFFF"/>
                <w:sz w:val="18"/>
                <w:szCs w:val="18"/>
              </w:rPr>
              <w:t xml:space="preserve">FY 2023-24</w:t>
            </w:r>
          </w:p>
        </w:tc>
        <w:tc>
          <w:tcPr>
            <w:tcW w:w="1923" w:type="dxa"/>
            <w:shd w:val="clear" w:color="auto" w:fill="122F5C"/>
            <w:vAlign w:val="center"/>
          </w:tcPr>
          <w:p>
            <w:pPr>
              <w:spacing w:before="0" w:after="0"/>
              <w:jc w:val="right"/>
            </w:pPr>
            <w:r>
              <w:rPr>
                <w:rFonts w:ascii="Arial" w:hAnsi="Arial" w:cs="Arial"/>
                <w:b/>
                <w:color w:val="FFFFFF"/>
                <w:sz w:val="18"/>
                <w:szCs w:val="18"/>
              </w:rPr>
              <w:t xml:space="preserve">FY 2024-25</w:t>
            </w:r>
          </w:p>
        </w:tc>
        <w:tc>
          <w:tcPr>
            <w:tcW w:w="1925" w:type="dxa"/>
            <w:shd w:val="clear" w:color="auto" w:fill="122F5C"/>
            <w:vAlign w:val="center"/>
          </w:tcPr>
          <w:p>
            <w:pPr>
              <w:spacing w:before="0" w:after="0"/>
              <w:jc w:val="right"/>
            </w:pPr>
            <w:r>
              <w:rPr>
                <w:rFonts w:ascii="Arial" w:hAnsi="Arial" w:cs="Arial"/>
                <w:b/>
                <w:color w:val="FFFFFF"/>
                <w:sz w:val="18"/>
                <w:szCs w:val="18"/>
              </w:rPr>
              <w:t xml:space="preserve">FY 2025-26</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Gross Contribution</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58.20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91.85</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135.30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Gross Contribution Margin (%)</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60.37</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61.75</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63.05</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EBITDA</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7.50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16.90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29.80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EBITDA Margin (%)</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7.78</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11.36</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13.89</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EBIT (Operating Profit)</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5.30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14.10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26.30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Operating Margin (%)</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5.50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9.48</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12.26</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Profit Before Tax</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4.20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12.70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24.70</w:t>
            </w:r>
          </w:p>
        </w:tc>
      </w:tr>
      <w:tr>
        <w:trPr>
          <w:cantSplit/>
        </w:trPr>
        <w:tc>
          <w:tcPr>
            <w:tcW w:w="3847"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Profit After Tax</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3.15</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9.53</w:t>
            </w:r>
          </w:p>
        </w:tc>
        <w:tc>
          <w:tcPr>
            <w:tcW w:w="1925"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18.53</w:t>
            </w:r>
          </w:p>
        </w:tc>
      </w:tr>
      <w:tr>
        <w:trPr>
          <w:cantSplit/>
        </w:trPr>
        <w:tc>
          <w:tcPr>
            <w:tcW w:w="3847"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Net Profit Margin (%)</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3.27</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6.41</w:t>
            </w:r>
          </w:p>
        </w:tc>
        <w:tc>
          <w:tcPr>
            <w:tcW w:w="1925"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8.63</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Gross contribution is revenue from operations less direct programme cost. EBIT is inclusive of other income.</w:t>
      </w:r>
    </w:p>
    <w:p>
      <w:pPr>
        <w:spacing w:before="80" w:after="80"/>
        <w:jc w:val="center"/>
      </w:pPr>
      <w:r>
        <w:drawing>
          <wp:inline distT="0" distB="0" distL="0" distR="0">
            <wp:extent cx="5308600" cy="3185160"/>
            <wp:docPr id="9" name="Picture 9"/>
            <a:graphic>
              <a:graphicData uri="http://schemas.openxmlformats.org/drawingml/2006/picture">
                <pic:pic>
                  <pic:nvPicPr>
                    <pic:cNvPr id="9" name="fig10_margins.png"/>
                    <pic:cNvPicPr/>
                  </pic:nvPicPr>
                  <pic:blipFill>
                    <a:blip r:embed="rId108"/>
                    <a:stretch>
                      <a:fillRect/>
                    </a:stretch>
                  </pic:blipFill>
                  <pic:spPr>
                    <a:xfrm>
                      <a:off x="0" y="0"/>
                      <a:ext cx="5308600" cy="3185160"/>
                    </a:xfrm>
                    <a:prstGeom prst="rect">
                      <a:avLst/>
                    </a:prstGeom>
                  </pic:spPr>
                </pic:pic>
              </a:graphicData>
            </a:graphic>
          </wp:inline>
        </w:drawing>
      </w:r>
    </w:p>
    <w:p>
      <w:pPr>
        <w:spacing w:before="20" w:after="40"/>
        <w:jc w:val="center"/>
      </w:pPr>
      <w:r>
        <w:rPr>
          <w:rFonts w:ascii="Arial" w:hAnsi="Arial" w:cs="Arial"/>
          <w:b/>
          <w:color w:val="E87A1E"/>
          <w:sz w:val="18"/>
          <w:szCs w:val="18"/>
        </w:rPr>
        <w:t xml:space="preserve">Figure 4.5  </w:t>
      </w:r>
      <w:r>
        <w:rPr>
          <w:rFonts w:ascii="Arial" w:hAnsi="Arial" w:cs="Arial"/>
          <w:color w:val="444A55"/>
          <w:sz w:val="18"/>
          <w:szCs w:val="18"/>
        </w:rPr>
        <w:t xml:space="preserve">Profitability margins over three years</w:t>
      </w:r>
    </w:p>
    <w:p>
      <w:pPr>
        <w:spacing w:before="0" w:after="180"/>
        <w:jc w:val="center"/>
      </w:pPr>
      <w:r>
        <w:rPr>
          <w:rFonts w:ascii="Times New Roman" w:hAnsi="Times New Roman" w:cs="Times New Roman"/>
          <w:i/>
          <w:color w:val="8A919C"/>
          <w:sz w:val="16"/>
          <w:szCs w:val="16"/>
        </w:rPr>
        <w:t xml:space="preserve">Computed from Table 4.4.</w:t>
      </w:r>
    </w:p>
    <w:p>
      <w:pPr>
        <w:spacing w:before="0" w:after="130" w:line="264" w:lineRule="auto"/>
        <w:jc w:val="both"/>
      </w:pPr>
      <w:r>
        <w:rPr>
          <w:rFonts w:ascii="Times New Roman" w:hAnsi="Times New Roman" w:cs="Times New Roman"/>
          <w:color w:val="1A1A1A"/>
          <w:sz w:val="21"/>
          <w:szCs w:val="21"/>
        </w:rPr>
        <w:t xml:space="preserve">The gap between the gross contribution margin of 63.05 per cent and the net margin of 8.63 per cent represents the overhead burden of the business. That gap has narrowed from 57.10 percentage points in FY 2023-24 to 54.42 percentage points in FY 2025-26. A narrowing gap on a rising revenue is the clearest available evidence that the business model scales.</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4.5  Working Capital Management</w:t>
      </w:r>
    </w:p>
    <w:p>
      <w:pPr>
        <w:spacing w:before="0" w:after="130" w:line="264" w:lineRule="auto"/>
        <w:jc w:val="both"/>
      </w:pPr>
      <w:r>
        <w:rPr>
          <w:rFonts w:ascii="Times New Roman" w:hAnsi="Times New Roman" w:cs="Times New Roman"/>
          <w:color w:val="1A1A1A"/>
          <w:sz w:val="21"/>
          <w:szCs w:val="21"/>
        </w:rPr>
        <w:t xml:space="preserve">Working capital — current assets less current liabilities — rose from ₹ 11.35 lakh to ₹ 27.41 lakh. The composition of that working capital is unusual and favourable: there is no inventory at all, and cash constitutes the largest single current asset.</w:t>
      </w:r>
    </w:p>
    <w:p>
      <w:pPr>
        <w:keepNext/>
        <w:keepLines/>
        <w:spacing w:before="220" w:after="60"/>
      </w:pPr>
      <w:r>
        <w:rPr>
          <w:rFonts w:ascii="Arial" w:hAnsi="Arial" w:cs="Arial"/>
          <w:b/>
          <w:color w:val="E87A1E"/>
          <w:sz w:val="19"/>
          <w:szCs w:val="19"/>
        </w:rPr>
        <w:t xml:space="preserve">Table 4.5  </w:t>
      </w:r>
      <w:r>
        <w:rPr>
          <w:rFonts w:ascii="Arial" w:hAnsi="Arial" w:cs="Arial"/>
          <w:b/>
          <w:color w:val="122F5C"/>
          <w:sz w:val="19"/>
          <w:szCs w:val="19"/>
        </w:rPr>
        <w:t xml:space="preserve">Composition of working capital (₹ in lakh)</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3847"/>
        <w:gridCol w:w="1923"/>
        <w:gridCol w:w="1923"/>
        <w:gridCol w:w="1925"/>
      </w:tblGrid>
      <w:tr>
        <w:trPr>
          <w:cantSplit/>
          <w:tblHeader/>
        </w:trPr>
        <w:tc>
          <w:tcPr>
            <w:tcW w:w="3847" w:type="dxa"/>
            <w:shd w:val="clear" w:color="auto" w:fill="122F5C"/>
            <w:vAlign w:val="center"/>
          </w:tcPr>
          <w:p>
            <w:pPr>
              <w:spacing w:before="0" w:after="0"/>
              <w:jc w:val="left"/>
            </w:pPr>
            <w:r>
              <w:rPr>
                <w:rFonts w:ascii="Arial" w:hAnsi="Arial" w:cs="Arial"/>
                <w:b/>
                <w:color w:val="FFFFFF"/>
                <w:sz w:val="18"/>
                <w:szCs w:val="18"/>
              </w:rPr>
              <w:t xml:space="preserve">Particulars</w:t>
            </w:r>
          </w:p>
        </w:tc>
        <w:tc>
          <w:tcPr>
            <w:tcW w:w="1923" w:type="dxa"/>
            <w:shd w:val="clear" w:color="auto" w:fill="122F5C"/>
            <w:vAlign w:val="center"/>
          </w:tcPr>
          <w:p>
            <w:pPr>
              <w:spacing w:before="0" w:after="0"/>
              <w:jc w:val="right"/>
            </w:pPr>
            <w:r>
              <w:rPr>
                <w:rFonts w:ascii="Arial" w:hAnsi="Arial" w:cs="Arial"/>
                <w:b/>
                <w:color w:val="FFFFFF"/>
                <w:sz w:val="18"/>
                <w:szCs w:val="18"/>
              </w:rPr>
              <w:t xml:space="preserve">FY 2023-24</w:t>
            </w:r>
          </w:p>
        </w:tc>
        <w:tc>
          <w:tcPr>
            <w:tcW w:w="1923" w:type="dxa"/>
            <w:shd w:val="clear" w:color="auto" w:fill="122F5C"/>
            <w:vAlign w:val="center"/>
          </w:tcPr>
          <w:p>
            <w:pPr>
              <w:spacing w:before="0" w:after="0"/>
              <w:jc w:val="right"/>
            </w:pPr>
            <w:r>
              <w:rPr>
                <w:rFonts w:ascii="Arial" w:hAnsi="Arial" w:cs="Arial"/>
                <w:b/>
                <w:color w:val="FFFFFF"/>
                <w:sz w:val="18"/>
                <w:szCs w:val="18"/>
              </w:rPr>
              <w:t xml:space="preserve">FY 2024-25</w:t>
            </w:r>
          </w:p>
        </w:tc>
        <w:tc>
          <w:tcPr>
            <w:tcW w:w="1925" w:type="dxa"/>
            <w:shd w:val="clear" w:color="auto" w:fill="122F5C"/>
            <w:vAlign w:val="center"/>
          </w:tcPr>
          <w:p>
            <w:pPr>
              <w:spacing w:before="0" w:after="0"/>
              <w:jc w:val="right"/>
            </w:pPr>
            <w:r>
              <w:rPr>
                <w:rFonts w:ascii="Arial" w:hAnsi="Arial" w:cs="Arial"/>
                <w:b/>
                <w:color w:val="FFFFFF"/>
                <w:sz w:val="18"/>
                <w:szCs w:val="18"/>
              </w:rPr>
              <w:t xml:space="preserve">FY 2025-26</w:t>
            </w:r>
          </w:p>
        </w:tc>
      </w:tr>
      <w:tr>
        <w:trPr>
          <w:cantSplit/>
        </w:trPr>
        <w:tc>
          <w:tcPr>
            <w:tcW w:w="3847" w:type="dxa"/>
            <w:tcBorders>
              <w:bottom w:val="single" w:sz="2" w:space="0" w:color="E3E7EC"/>
            </w:tcBorders>
            <w:shd w:val="clear" w:color="auto" w:fill="1B4B8A"/>
          </w:tcPr>
          <w:p>
            <w:pPr>
              <w:spacing w:before="0" w:after="0" w:line="250" w:lineRule="auto"/>
              <w:jc w:val="left"/>
            </w:pPr>
            <w:r>
              <w:rPr>
                <w:rFonts w:ascii="Arial" w:hAnsi="Arial" w:cs="Arial"/>
                <w:b/>
                <w:color w:val="FFFFFF"/>
                <w:sz w:val="18"/>
                <w:szCs w:val="18"/>
              </w:rPr>
              <w:t xml:space="preserve">Current Assets</w:t>
            </w:r>
          </w:p>
        </w:tc>
        <w:tc>
          <w:tcPr>
            <w:tcW w:w="1923" w:type="dxa"/>
            <w:tcBorders>
              <w:bottom w:val="single" w:sz="2" w:space="0" w:color="E3E7EC"/>
            </w:tcBorders>
            <w:shd w:val="clear" w:color="auto" w:fill="1B4B8A"/>
          </w:tcPr>
          <w:p>
            <w:pPr>
              <w:spacing w:before="0" w:after="0" w:line="250" w:lineRule="auto"/>
              <w:jc w:val="right"/>
            </w:pPr>
          </w:p>
        </w:tc>
        <w:tc>
          <w:tcPr>
            <w:tcW w:w="1923" w:type="dxa"/>
            <w:tcBorders>
              <w:bottom w:val="single" w:sz="2" w:space="0" w:color="E3E7EC"/>
            </w:tcBorders>
            <w:shd w:val="clear" w:color="auto" w:fill="1B4B8A"/>
          </w:tcPr>
          <w:p>
            <w:pPr>
              <w:spacing w:before="0" w:after="0" w:line="250" w:lineRule="auto"/>
              <w:jc w:val="right"/>
            </w:pPr>
          </w:p>
        </w:tc>
        <w:tc>
          <w:tcPr>
            <w:tcW w:w="1925" w:type="dxa"/>
            <w:tcBorders>
              <w:bottom w:val="single" w:sz="2" w:space="0" w:color="E3E7EC"/>
            </w:tcBorders>
            <w:shd w:val="clear" w:color="auto" w:fill="1B4B8A"/>
          </w:tcPr>
          <w:p>
            <w:pPr>
              <w:spacing w:before="0" w:after="0" w:line="250" w:lineRule="auto"/>
              <w:jc w:val="right"/>
            </w:pP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Trade Receivables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11.80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16.90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23.10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Cash &amp; Bank Balances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9.70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14.20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24.61</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Short-term Loans &amp; Advances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2.90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4.10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5.80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Other Current Assets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2.60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3.70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5.00</w:t>
            </w:r>
          </w:p>
        </w:tc>
      </w:tr>
      <w:tr>
        <w:trPr>
          <w:cantSplit/>
        </w:trPr>
        <w:tc>
          <w:tcPr>
            <w:tcW w:w="3847"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Total Current Assets</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27.00</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38.90</w:t>
            </w:r>
          </w:p>
        </w:tc>
        <w:tc>
          <w:tcPr>
            <w:tcW w:w="1925"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58.51</w:t>
            </w:r>
          </w:p>
        </w:tc>
      </w:tr>
      <w:tr>
        <w:trPr>
          <w:cantSplit/>
        </w:trPr>
        <w:tc>
          <w:tcPr>
            <w:tcW w:w="3847" w:type="dxa"/>
            <w:tcBorders>
              <w:bottom w:val="single" w:sz="2" w:space="0" w:color="E3E7EC"/>
            </w:tcBorders>
            <w:shd w:val="clear" w:color="auto" w:fill="1B4B8A"/>
          </w:tcPr>
          <w:p>
            <w:pPr>
              <w:spacing w:before="0" w:after="0" w:line="250" w:lineRule="auto"/>
              <w:jc w:val="left"/>
            </w:pPr>
            <w:r>
              <w:rPr>
                <w:rFonts w:ascii="Arial" w:hAnsi="Arial" w:cs="Arial"/>
                <w:b/>
                <w:color w:val="FFFFFF"/>
                <w:sz w:val="18"/>
                <w:szCs w:val="18"/>
              </w:rPr>
              <w:t xml:space="preserve">Current Liabilities</w:t>
            </w:r>
          </w:p>
        </w:tc>
        <w:tc>
          <w:tcPr>
            <w:tcW w:w="1923" w:type="dxa"/>
            <w:tcBorders>
              <w:bottom w:val="single" w:sz="2" w:space="0" w:color="E3E7EC"/>
            </w:tcBorders>
            <w:shd w:val="clear" w:color="auto" w:fill="1B4B8A"/>
          </w:tcPr>
          <w:p>
            <w:pPr>
              <w:spacing w:before="0" w:after="0" w:line="250" w:lineRule="auto"/>
              <w:jc w:val="right"/>
            </w:pPr>
          </w:p>
        </w:tc>
        <w:tc>
          <w:tcPr>
            <w:tcW w:w="1923" w:type="dxa"/>
            <w:tcBorders>
              <w:bottom w:val="single" w:sz="2" w:space="0" w:color="E3E7EC"/>
            </w:tcBorders>
            <w:shd w:val="clear" w:color="auto" w:fill="1B4B8A"/>
          </w:tcPr>
          <w:p>
            <w:pPr>
              <w:spacing w:before="0" w:after="0" w:line="250" w:lineRule="auto"/>
              <w:jc w:val="right"/>
            </w:pPr>
          </w:p>
        </w:tc>
        <w:tc>
          <w:tcPr>
            <w:tcW w:w="1925" w:type="dxa"/>
            <w:tcBorders>
              <w:bottom w:val="single" w:sz="2" w:space="0" w:color="E3E7EC"/>
            </w:tcBorders>
            <w:shd w:val="clear" w:color="auto" w:fill="1B4B8A"/>
          </w:tcPr>
          <w:p>
            <w:pPr>
              <w:spacing w:before="0" w:after="0" w:line="250" w:lineRule="auto"/>
              <w:jc w:val="right"/>
            </w:pP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Short-term Borrowings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3.20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4.10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4.60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Trade Payables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7.40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11.30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15.80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Other Current Liabilities &amp; Provisions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5.05</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7.62</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10.70</w:t>
            </w:r>
          </w:p>
        </w:tc>
      </w:tr>
      <w:tr>
        <w:trPr>
          <w:cantSplit/>
        </w:trPr>
        <w:tc>
          <w:tcPr>
            <w:tcW w:w="3847"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Total Current Liabilities</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15.65</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23.02</w:t>
            </w:r>
          </w:p>
        </w:tc>
        <w:tc>
          <w:tcPr>
            <w:tcW w:w="1925"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31.10</w:t>
            </w:r>
          </w:p>
        </w:tc>
      </w:tr>
      <w:tr>
        <w:trPr>
          <w:cantSplit/>
        </w:trPr>
        <w:tc>
          <w:tcPr>
            <w:tcW w:w="3847"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Net Working Capital</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11.35</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15.88</w:t>
            </w:r>
          </w:p>
        </w:tc>
        <w:tc>
          <w:tcPr>
            <w:tcW w:w="1925"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27.41</w:t>
            </w:r>
          </w:p>
        </w:tc>
      </w:tr>
    </w:tbl>
    <w:p>
      <w:pPr>
        <w:spacing w:before="0" w:after="0"/>
      </w:pPr>
      <w:r>
        <w:rPr>
          <w:sz w:val="16"/>
        </w:rPr>
        <w:t/>
      </w:r>
    </w:p>
    <w:p>
      <w:pPr>
        <w:keepNext/>
        <w:keepLines/>
        <w:spacing w:before="200" w:after="80"/>
      </w:pPr>
      <w:r>
        <w:rPr>
          <w:rFonts w:ascii="Arial" w:hAnsi="Arial" w:cs="Arial"/>
          <w:b/>
          <w:color w:val="1B4B8A"/>
          <w:sz w:val="21"/>
          <w:szCs w:val="21"/>
        </w:rPr>
        <w:t xml:space="preserve">4.5.1  Trade Receivables</w:t>
      </w:r>
    </w:p>
    <w:p>
      <w:pPr>
        <w:spacing w:before="0" w:after="130" w:line="264" w:lineRule="auto"/>
        <w:jc w:val="both"/>
      </w:pPr>
      <w:r>
        <w:rPr>
          <w:rFonts w:ascii="Times New Roman" w:hAnsi="Times New Roman" w:cs="Times New Roman"/>
          <w:color w:val="1A1A1A"/>
          <w:sz w:val="21"/>
          <w:szCs w:val="21"/>
        </w:rPr>
        <w:t xml:space="preserve">Trade receivables rose from ₹ 11.80 lakh to ₹ 23.10 lakh. On the conventional basis — revenue divided by average receivables — the debtors turnover ratio was 10.73 times and the collection period about 34.0 days, both marginally better than the preceding year.</w:t>
      </w:r>
    </w:p>
    <w:tbl>
      <w:tblPr>
        <w:tblW w:w="9618" w:type="dxa"/>
        <w:tblBorders>
          <w:top w:val="single" w:sz="4" w:space="0" w:color="FBE9E7"/>
          <w:left w:val="single" w:sz="24" w:space="0" w:color="C0392B"/>
          <w:bottom w:val="single" w:sz="4" w:space="0" w:color="FBE9E7"/>
          <w:right w:val="single" w:sz="4" w:space="0" w:color="FBE9E7"/>
        </w:tblBorders>
        <w:tblCellMar>
          <w:top w:w="120" w:type="dxa"/>
          <w:left w:w="180" w:type="dxa"/>
          <w:bottom w:w="120" w:type="dxa"/>
          <w:right w:w="160" w:type="dxa"/>
        </w:tblCellMar>
      </w:tblPr>
      <w:tblGrid>
        <w:gridCol w:w="9618"/>
      </w:tblGrid>
      <w:tr>
        <w:tc>
          <w:tcPr>
            <w:tcW w:w="9618" w:type="dxa"/>
            <w:shd w:val="clear" w:color="auto" w:fill="FBE9E7"/>
          </w:tcPr>
          <w:p>
            <w:pPr>
              <w:spacing w:before="0" w:after="60"/>
            </w:pPr>
            <w:r>
              <w:rPr>
                <w:rFonts w:ascii="Arial" w:hAnsi="Arial" w:cs="Arial"/>
                <w:b/>
                <w:color w:val="C0392B"/>
                <w:sz w:val="20"/>
                <w:szCs w:val="20"/>
              </w:rPr>
              <w:t xml:space="preserve">The Debtor-Days Figure Understates the Real Credit Period</w:t>
            </w:r>
          </w:p>
          <w:p>
            <w:pPr>
              <w:spacing w:before="0" w:after="0" w:line="250" w:lineRule="auto"/>
              <w:jc w:val="both"/>
            </w:pPr>
            <w:r>
              <w:rPr>
                <w:rFonts w:ascii="Times New Roman" w:hAnsi="Times New Roman" w:cs="Times New Roman"/>
                <w:color w:val="1A1A1A"/>
                <w:sz w:val="19"/>
                <w:szCs w:val="19"/>
              </w:rPr>
              <w:t xml:space="preserve">Only the business-to-business service line is sold on credit. Measured against that line's revenue of about ₹ 34.90 lakh rather than against total turnover of ₹ 214.60 lakh, the effective collection period on credit sales is of the order of 209 days rather than 34.0 days. The conventional ratio is not wrong, but it is the wrong ratio for this revenue mix, and relying on it would give false comfort.</w:t>
            </w:r>
          </w:p>
        </w:tc>
      </w:tr>
    </w:tbl>
    <w:p>
      <w:pPr>
        <w:spacing w:before="0" w:after="0"/>
      </w:pPr>
      <w:r>
        <w:rPr>
          <w:sz w:val="12"/>
        </w:rPr>
        <w:t/>
      </w:r>
    </w:p>
    <w:p>
      <w:pPr>
        <w:keepNext/>
        <w:keepLines/>
        <w:spacing w:before="220" w:after="60"/>
      </w:pPr>
      <w:r>
        <w:rPr>
          <w:rFonts w:ascii="Arial" w:hAnsi="Arial" w:cs="Arial"/>
          <w:b/>
          <w:color w:val="E87A1E"/>
          <w:sz w:val="19"/>
          <w:szCs w:val="19"/>
        </w:rPr>
        <w:t xml:space="preserve">Table 4.6  </w:t>
      </w:r>
      <w:r>
        <w:rPr>
          <w:rFonts w:ascii="Arial" w:hAnsi="Arial" w:cs="Arial"/>
          <w:b/>
          <w:color w:val="122F5C"/>
          <w:sz w:val="19"/>
          <w:szCs w:val="19"/>
        </w:rPr>
        <w:t xml:space="preserve">Receivables and the collection period</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4424"/>
        <w:gridCol w:w="2596"/>
        <w:gridCol w:w="2598"/>
      </w:tblGrid>
      <w:tr>
        <w:trPr>
          <w:cantSplit/>
          <w:tblHeader/>
        </w:trPr>
        <w:tc>
          <w:tcPr>
            <w:tcW w:w="4424" w:type="dxa"/>
            <w:shd w:val="clear" w:color="auto" w:fill="122F5C"/>
            <w:vAlign w:val="center"/>
          </w:tcPr>
          <w:p>
            <w:pPr>
              <w:spacing w:before="0" w:after="0"/>
              <w:jc w:val="left"/>
            </w:pPr>
            <w:r>
              <w:rPr>
                <w:rFonts w:ascii="Arial" w:hAnsi="Arial" w:cs="Arial"/>
                <w:b/>
                <w:color w:val="FFFFFF"/>
                <w:sz w:val="18"/>
                <w:szCs w:val="18"/>
              </w:rPr>
              <w:t xml:space="preserve">Particulars</w:t>
            </w:r>
          </w:p>
        </w:tc>
        <w:tc>
          <w:tcPr>
            <w:tcW w:w="2596" w:type="dxa"/>
            <w:shd w:val="clear" w:color="auto" w:fill="122F5C"/>
            <w:vAlign w:val="center"/>
          </w:tcPr>
          <w:p>
            <w:pPr>
              <w:spacing w:before="0" w:after="0"/>
              <w:jc w:val="right"/>
            </w:pPr>
            <w:r>
              <w:rPr>
                <w:rFonts w:ascii="Arial" w:hAnsi="Arial" w:cs="Arial"/>
                <w:b/>
                <w:color w:val="FFFFFF"/>
                <w:sz w:val="18"/>
                <w:szCs w:val="18"/>
              </w:rPr>
              <w:t xml:space="preserve">FY 2024-25</w:t>
            </w:r>
          </w:p>
        </w:tc>
        <w:tc>
          <w:tcPr>
            <w:tcW w:w="2598" w:type="dxa"/>
            <w:shd w:val="clear" w:color="auto" w:fill="122F5C"/>
            <w:vAlign w:val="center"/>
          </w:tcPr>
          <w:p>
            <w:pPr>
              <w:spacing w:before="0" w:after="0"/>
              <w:jc w:val="right"/>
            </w:pPr>
            <w:r>
              <w:rPr>
                <w:rFonts w:ascii="Arial" w:hAnsi="Arial" w:cs="Arial"/>
                <w:b/>
                <w:color w:val="FFFFFF"/>
                <w:sz w:val="18"/>
                <w:szCs w:val="18"/>
              </w:rPr>
              <w:t xml:space="preserve">FY 2025-26</w:t>
            </w:r>
          </w:p>
        </w:tc>
      </w:tr>
      <w:tr>
        <w:trPr>
          <w:cantSplit/>
        </w:trPr>
        <w:tc>
          <w:tcPr>
            <w:tcW w:w="4424"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Closing Trade Receivables (₹ L)</w:t>
            </w:r>
          </w:p>
        </w:tc>
        <w:tc>
          <w:tcPr>
            <w:tcW w:w="2596"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16.90</w:t>
            </w:r>
          </w:p>
        </w:tc>
        <w:tc>
          <w:tcPr>
            <w:tcW w:w="259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23.10</w:t>
            </w:r>
          </w:p>
        </w:tc>
      </w:tr>
      <w:tr>
        <w:trPr>
          <w:cantSplit/>
        </w:trPr>
        <w:tc>
          <w:tcPr>
            <w:tcW w:w="4424"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Average Trade Receivables (₹ L)</w:t>
            </w:r>
          </w:p>
        </w:tc>
        <w:tc>
          <w:tcPr>
            <w:tcW w:w="2596"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14.35</w:t>
            </w:r>
          </w:p>
        </w:tc>
        <w:tc>
          <w:tcPr>
            <w:tcW w:w="259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20.00</w:t>
            </w:r>
          </w:p>
        </w:tc>
      </w:tr>
      <w:tr>
        <w:trPr>
          <w:cantSplit/>
        </w:trPr>
        <w:tc>
          <w:tcPr>
            <w:tcW w:w="4424"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Debtors Turnover (times)</w:t>
            </w:r>
          </w:p>
        </w:tc>
        <w:tc>
          <w:tcPr>
            <w:tcW w:w="2596"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10.37</w:t>
            </w:r>
          </w:p>
        </w:tc>
        <w:tc>
          <w:tcPr>
            <w:tcW w:w="259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10.73</w:t>
            </w:r>
          </w:p>
        </w:tc>
      </w:tr>
      <w:tr>
        <w:trPr>
          <w:cantSplit/>
        </w:trPr>
        <w:tc>
          <w:tcPr>
            <w:tcW w:w="4424"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Collection Period on total revenue (days)</w:t>
            </w:r>
          </w:p>
        </w:tc>
        <w:tc>
          <w:tcPr>
            <w:tcW w:w="2596"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35.2</w:t>
            </w:r>
          </w:p>
        </w:tc>
        <w:tc>
          <w:tcPr>
            <w:tcW w:w="259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34.0</w:t>
            </w:r>
          </w:p>
        </w:tc>
      </w:tr>
      <w:tr>
        <w:trPr>
          <w:cantSplit/>
        </w:trPr>
        <w:tc>
          <w:tcPr>
            <w:tcW w:w="4424"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Collection Period on credit sales only (days)</w:t>
            </w:r>
          </w:p>
        </w:tc>
        <w:tc>
          <w:tcPr>
            <w:tcW w:w="2596"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213</w:t>
            </w:r>
          </w:p>
        </w:tc>
        <w:tc>
          <w:tcPr>
            <w:tcW w:w="2598"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209</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Credit sales are taken as the business-to-business service line only: ₹ 24.60 lakh in FY 2024-25 and ₹ 34.90 lakh in FY 2025-26.</w:t>
      </w:r>
    </w:p>
    <w:p>
      <w:pPr>
        <w:keepNext/>
        <w:keepLines/>
        <w:spacing w:before="200" w:after="80"/>
      </w:pPr>
      <w:r>
        <w:rPr>
          <w:rFonts w:ascii="Arial" w:hAnsi="Arial" w:cs="Arial"/>
          <w:b/>
          <w:color w:val="1B4B8A"/>
          <w:sz w:val="21"/>
          <w:szCs w:val="21"/>
        </w:rPr>
        <w:t xml:space="preserve">4.5.2  Ageing of Receivables</w:t>
      </w:r>
    </w:p>
    <w:p>
      <w:pPr>
        <w:keepNext/>
        <w:keepLines/>
        <w:spacing w:before="220" w:after="60"/>
      </w:pPr>
      <w:r>
        <w:rPr>
          <w:rFonts w:ascii="Arial" w:hAnsi="Arial" w:cs="Arial"/>
          <w:b/>
          <w:color w:val="E87A1E"/>
          <w:sz w:val="19"/>
          <w:szCs w:val="19"/>
        </w:rPr>
        <w:t xml:space="preserve">Table 4.7  </w:t>
      </w:r>
      <w:r>
        <w:rPr>
          <w:rFonts w:ascii="Arial" w:hAnsi="Arial" w:cs="Arial"/>
          <w:b/>
          <w:color w:val="122F5C"/>
          <w:sz w:val="19"/>
          <w:szCs w:val="19"/>
        </w:rPr>
        <w:t xml:space="preserve">Ageing of trade receivables as at the close of FY 2025-26</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2885"/>
        <w:gridCol w:w="2308"/>
        <w:gridCol w:w="2115"/>
        <w:gridCol w:w="2310"/>
      </w:tblGrid>
      <w:tr>
        <w:trPr>
          <w:cantSplit/>
          <w:tblHeader/>
        </w:trPr>
        <w:tc>
          <w:tcPr>
            <w:tcW w:w="2885" w:type="dxa"/>
            <w:shd w:val="clear" w:color="auto" w:fill="122F5C"/>
            <w:vAlign w:val="center"/>
          </w:tcPr>
          <w:p>
            <w:pPr>
              <w:spacing w:before="0" w:after="0"/>
              <w:jc w:val="left"/>
            </w:pPr>
            <w:r>
              <w:rPr>
                <w:rFonts w:ascii="Arial" w:hAnsi="Arial" w:cs="Arial"/>
                <w:b/>
                <w:color w:val="FFFFFF"/>
                <w:sz w:val="18"/>
                <w:szCs w:val="18"/>
              </w:rPr>
              <w:t xml:space="preserve">Age bucket</w:t>
            </w:r>
          </w:p>
        </w:tc>
        <w:tc>
          <w:tcPr>
            <w:tcW w:w="2308" w:type="dxa"/>
            <w:shd w:val="clear" w:color="auto" w:fill="122F5C"/>
            <w:vAlign w:val="center"/>
          </w:tcPr>
          <w:p>
            <w:pPr>
              <w:spacing w:before="0" w:after="0"/>
              <w:jc w:val="right"/>
            </w:pPr>
            <w:r>
              <w:rPr>
                <w:rFonts w:ascii="Arial" w:hAnsi="Arial" w:cs="Arial"/>
                <w:b/>
                <w:color w:val="FFFFFF"/>
                <w:sz w:val="18"/>
                <w:szCs w:val="18"/>
              </w:rPr>
              <w:t xml:space="preserve">Amount (₹ L)</w:t>
            </w:r>
          </w:p>
        </w:tc>
        <w:tc>
          <w:tcPr>
            <w:tcW w:w="2115" w:type="dxa"/>
            <w:shd w:val="clear" w:color="auto" w:fill="122F5C"/>
            <w:vAlign w:val="center"/>
          </w:tcPr>
          <w:p>
            <w:pPr>
              <w:spacing w:before="0" w:after="0"/>
              <w:jc w:val="right"/>
            </w:pPr>
            <w:r>
              <w:rPr>
                <w:rFonts w:ascii="Arial" w:hAnsi="Arial" w:cs="Arial"/>
                <w:b/>
                <w:color w:val="FFFFFF"/>
                <w:sz w:val="18"/>
                <w:szCs w:val="18"/>
              </w:rPr>
              <w:t xml:space="preserve">Share</w:t>
            </w:r>
          </w:p>
        </w:tc>
        <w:tc>
          <w:tcPr>
            <w:tcW w:w="2310" w:type="dxa"/>
            <w:shd w:val="clear" w:color="auto" w:fill="122F5C"/>
            <w:vAlign w:val="center"/>
          </w:tcPr>
          <w:p>
            <w:pPr>
              <w:spacing w:before="0" w:after="0"/>
              <w:jc w:val="left"/>
            </w:pPr>
            <w:r>
              <w:rPr>
                <w:rFonts w:ascii="Arial" w:hAnsi="Arial" w:cs="Arial"/>
                <w:b/>
                <w:color w:val="FFFFFF"/>
                <w:sz w:val="18"/>
                <w:szCs w:val="18"/>
              </w:rPr>
              <w:t xml:space="preserve">Assessment</w:t>
            </w:r>
          </w:p>
        </w:tc>
      </w:tr>
      <w:tr>
        <w:trPr>
          <w:cantSplit/>
        </w:trPr>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Not yet due</w:t>
            </w:r>
          </w:p>
        </w:tc>
        <w:tc>
          <w:tcPr>
            <w:tcW w:w="230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8.40</w:t>
            </w:r>
          </w:p>
        </w:tc>
        <w:tc>
          <w:tcPr>
            <w:tcW w:w="211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36.36</w:t>
            </w:r>
          </w:p>
        </w:tc>
        <w:tc>
          <w:tcPr>
            <w:tcW w:w="231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Normal</w:t>
            </w:r>
          </w:p>
        </w:tc>
      </w:tr>
      <w:tr>
        <w:trPr>
          <w:cantSplit/>
        </w:trPr>
        <w:tc>
          <w:tcPr>
            <w:tcW w:w="288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1 to 30 days overdue</w:t>
            </w:r>
          </w:p>
        </w:tc>
        <w:tc>
          <w:tcPr>
            <w:tcW w:w="230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6.10</w:t>
            </w:r>
          </w:p>
        </w:tc>
        <w:tc>
          <w:tcPr>
            <w:tcW w:w="211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26.41</w:t>
            </w:r>
          </w:p>
        </w:tc>
        <w:tc>
          <w:tcPr>
            <w:tcW w:w="231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Routine follow-up</w:t>
            </w:r>
          </w:p>
        </w:tc>
      </w:tr>
      <w:tr>
        <w:trPr>
          <w:cantSplit/>
        </w:trPr>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31 to 60 days overdue</w:t>
            </w:r>
          </w:p>
        </w:tc>
        <w:tc>
          <w:tcPr>
            <w:tcW w:w="230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4.20</w:t>
            </w:r>
          </w:p>
        </w:tc>
        <w:tc>
          <w:tcPr>
            <w:tcW w:w="211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18.18</w:t>
            </w:r>
          </w:p>
        </w:tc>
        <w:tc>
          <w:tcPr>
            <w:tcW w:w="231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Needs attention</w:t>
            </w:r>
          </w:p>
        </w:tc>
      </w:tr>
      <w:tr>
        <w:trPr>
          <w:cantSplit/>
        </w:trPr>
        <w:tc>
          <w:tcPr>
            <w:tcW w:w="288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61 to 90 days overdue</w:t>
            </w:r>
          </w:p>
        </w:tc>
        <w:tc>
          <w:tcPr>
            <w:tcW w:w="230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2.60</w:t>
            </w:r>
          </w:p>
        </w:tc>
        <w:tc>
          <w:tcPr>
            <w:tcW w:w="211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11.26</w:t>
            </w:r>
          </w:p>
        </w:tc>
        <w:tc>
          <w:tcPr>
            <w:tcW w:w="231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Escalate</w:t>
            </w:r>
          </w:p>
        </w:tc>
      </w:tr>
      <w:tr>
        <w:trPr>
          <w:cantSplit/>
        </w:trPr>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Over 90 days overdue</w:t>
            </w:r>
          </w:p>
        </w:tc>
        <w:tc>
          <w:tcPr>
            <w:tcW w:w="230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1.80</w:t>
            </w:r>
          </w:p>
        </w:tc>
        <w:tc>
          <w:tcPr>
            <w:tcW w:w="211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7.79</w:t>
            </w:r>
          </w:p>
        </w:tc>
        <w:tc>
          <w:tcPr>
            <w:tcW w:w="231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Provision merited</w:t>
            </w:r>
          </w:p>
        </w:tc>
      </w:tr>
      <w:tr>
        <w:trPr>
          <w:cantSplit/>
        </w:trPr>
        <w:tc>
          <w:tcPr>
            <w:tcW w:w="2885"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Total</w:t>
            </w:r>
          </w:p>
        </w:tc>
        <w:tc>
          <w:tcPr>
            <w:tcW w:w="2308"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23.10</w:t>
            </w:r>
          </w:p>
        </w:tc>
        <w:tc>
          <w:tcPr>
            <w:tcW w:w="2115"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100.00</w:t>
            </w:r>
          </w:p>
        </w:tc>
        <w:tc>
          <w:tcPr>
            <w:tcW w:w="2310" w:type="dxa"/>
            <w:tcBorders>
              <w:bottom w:val="single" w:sz="2" w:space="0" w:color="E3E7EC"/>
            </w:tcBorders>
            <w:shd w:val="clear" w:color="auto" w:fill="D8E7F7"/>
          </w:tcPr>
          <w:p>
            <w:pPr>
              <w:spacing w:before="0" w:after="0" w:line="250" w:lineRule="auto"/>
              <w:jc w:val="left"/>
            </w:pP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Compiled by the intern from the receivable ledger. Amounts overdue by more than sixty days constitute 19.05 per cent of the balance.</w:t>
      </w:r>
    </w:p>
    <w:p>
      <w:pPr>
        <w:keepNext/>
        <w:keepLines/>
        <w:spacing w:before="200" w:after="80"/>
      </w:pPr>
      <w:r>
        <w:rPr>
          <w:rFonts w:ascii="Arial" w:hAnsi="Arial" w:cs="Arial"/>
          <w:b/>
          <w:color w:val="1B4B8A"/>
          <w:sz w:val="21"/>
          <w:szCs w:val="21"/>
        </w:rPr>
        <w:t xml:space="preserve">4.5.3  The Operating Cycle</w:t>
      </w:r>
    </w:p>
    <w:p>
      <w:pPr>
        <w:spacing w:before="0" w:after="130" w:line="264" w:lineRule="auto"/>
        <w:jc w:val="both"/>
      </w:pPr>
      <w:r>
        <w:rPr>
          <w:rFonts w:ascii="Times New Roman" w:hAnsi="Times New Roman" w:cs="Times New Roman"/>
          <w:color w:val="1A1A1A"/>
          <w:sz w:val="21"/>
          <w:szCs w:val="21"/>
        </w:rPr>
        <w:t xml:space="preserve">Because the organisation holds no inventory, its operating cycle consists only of the collection period less the credit period enjoyed from suppliers. Trade creditors were settled in about 62.4 days against a collection period of 34.0 days, producing a cash conversion cycle of about </w:t>
      </w:r>
      <w:r>
        <w:rPr>
          <w:rFonts w:ascii="Times New Roman" w:hAnsi="Times New Roman" w:cs="Times New Roman"/>
          <w:b/>
          <w:color w:val="1A1A1A"/>
          <w:sz w:val="21"/>
          <w:szCs w:val="21"/>
        </w:rPr>
        <w:t xml:space="preserve">-28.4 days</w:t>
      </w:r>
      <w:r>
        <w:rPr>
          <w:rFonts w:ascii="Times New Roman" w:hAnsi="Times New Roman" w:cs="Times New Roman"/>
          <w:color w:val="1A1A1A"/>
          <w:sz w:val="21"/>
          <w:szCs w:val="21"/>
        </w:rPr>
        <w:t xml:space="preserve">. A negative cycle means that suppliers and mentors are, in effect, financing part of the working capital requirement. It is a genuine structural advantage, and it explains how the business has funded rapid growth without a proportionate increase in borrowing.</w:t>
      </w:r>
    </w:p>
    <w:p>
      <w:pPr>
        <w:spacing w:before="80" w:after="80"/>
        <w:jc w:val="center"/>
      </w:pPr>
      <w:r>
        <w:drawing>
          <wp:inline distT="0" distB="0" distL="0" distR="0">
            <wp:extent cx="5308600" cy="3185160"/>
            <wp:docPr id="10" name="Picture 10"/>
            <a:graphic>
              <a:graphicData uri="http://schemas.openxmlformats.org/drawingml/2006/picture">
                <pic:pic>
                  <pic:nvPicPr>
                    <pic:cNvPr id="10" name="fig14_cycle.png"/>
                    <pic:cNvPicPr/>
                  </pic:nvPicPr>
                  <pic:blipFill>
                    <a:blip r:embed="rId109"/>
                    <a:stretch>
                      <a:fillRect/>
                    </a:stretch>
                  </pic:blipFill>
                  <pic:spPr>
                    <a:xfrm>
                      <a:off x="0" y="0"/>
                      <a:ext cx="5308600" cy="3185160"/>
                    </a:xfrm>
                    <a:prstGeom prst="rect">
                      <a:avLst/>
                    </a:prstGeom>
                  </pic:spPr>
                </pic:pic>
              </a:graphicData>
            </a:graphic>
          </wp:inline>
        </w:drawing>
      </w:r>
    </w:p>
    <w:p>
      <w:pPr>
        <w:spacing w:before="20" w:after="40"/>
        <w:jc w:val="center"/>
      </w:pPr>
      <w:r>
        <w:rPr>
          <w:rFonts w:ascii="Arial" w:hAnsi="Arial" w:cs="Arial"/>
          <w:b/>
          <w:color w:val="E87A1E"/>
          <w:sz w:val="18"/>
          <w:szCs w:val="18"/>
        </w:rPr>
        <w:t xml:space="preserve">Figure 4.6  </w:t>
      </w:r>
      <w:r>
        <w:rPr>
          <w:rFonts w:ascii="Arial" w:hAnsi="Arial" w:cs="Arial"/>
          <w:color w:val="444A55"/>
          <w:sz w:val="18"/>
          <w:szCs w:val="18"/>
        </w:rPr>
        <w:t xml:space="preserve">Debtor days, creditor days and the cash conversion cycle</w:t>
      </w:r>
    </w:p>
    <w:p>
      <w:pPr>
        <w:spacing w:before="0" w:after="180"/>
        <w:jc w:val="center"/>
      </w:pPr>
      <w:r>
        <w:rPr>
          <w:rFonts w:ascii="Times New Roman" w:hAnsi="Times New Roman" w:cs="Times New Roman"/>
          <w:i/>
          <w:color w:val="8A919C"/>
          <w:sz w:val="16"/>
          <w:szCs w:val="16"/>
        </w:rPr>
        <w:t xml:space="preserve">Computed on average balances.</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4.6  Cash Flow Analysis</w:t>
      </w:r>
    </w:p>
    <w:p>
      <w:pPr>
        <w:spacing w:before="0" w:after="130" w:line="264" w:lineRule="auto"/>
        <w:jc w:val="both"/>
      </w:pPr>
      <w:r>
        <w:rPr>
          <w:rFonts w:ascii="Times New Roman" w:hAnsi="Times New Roman" w:cs="Times New Roman"/>
          <w:color w:val="1A1A1A"/>
          <w:sz w:val="21"/>
          <w:szCs w:val="21"/>
        </w:rPr>
        <w:t xml:space="preserve">Profit is an opinion; cash is a fact. The cash flow statement below was constructed under the indirect method from the two statements and reconciles exactly to the movement in cash balances, which is itself a check on the internal consistency of the figures analysed.</w:t>
      </w:r>
    </w:p>
    <w:p>
      <w:pPr>
        <w:keepNext/>
        <w:keepLines/>
        <w:spacing w:before="220" w:after="60"/>
      </w:pPr>
      <w:r>
        <w:rPr>
          <w:rFonts w:ascii="Arial" w:hAnsi="Arial" w:cs="Arial"/>
          <w:b/>
          <w:color w:val="E87A1E"/>
          <w:sz w:val="19"/>
          <w:szCs w:val="19"/>
        </w:rPr>
        <w:t xml:space="preserve">Table 4.8  </w:t>
      </w:r>
      <w:r>
        <w:rPr>
          <w:rFonts w:ascii="Arial" w:hAnsi="Arial" w:cs="Arial"/>
          <w:b/>
          <w:color w:val="122F5C"/>
          <w:sz w:val="19"/>
          <w:szCs w:val="19"/>
        </w:rPr>
        <w:t xml:space="preserve">Cash Flow Statement for FY 2025-26 (₹ in lakh)</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5963"/>
        <w:gridCol w:w="1827"/>
        <w:gridCol w:w="1828"/>
      </w:tblGrid>
      <w:tr>
        <w:trPr>
          <w:cantSplit/>
          <w:tblHeader/>
        </w:trPr>
        <w:tc>
          <w:tcPr>
            <w:tcW w:w="5963" w:type="dxa"/>
            <w:shd w:val="clear" w:color="auto" w:fill="122F5C"/>
            <w:vAlign w:val="center"/>
          </w:tcPr>
          <w:p>
            <w:pPr>
              <w:spacing w:before="0" w:after="0"/>
              <w:jc w:val="left"/>
            </w:pPr>
            <w:r>
              <w:rPr>
                <w:rFonts w:ascii="Arial" w:hAnsi="Arial" w:cs="Arial"/>
                <w:b/>
                <w:color w:val="FFFFFF"/>
                <w:sz w:val="17"/>
                <w:szCs w:val="17"/>
              </w:rPr>
              <w:t xml:space="preserve">Particulars</w:t>
            </w:r>
          </w:p>
        </w:tc>
        <w:tc>
          <w:tcPr>
            <w:tcW w:w="1827" w:type="dxa"/>
            <w:shd w:val="clear" w:color="auto" w:fill="122F5C"/>
            <w:vAlign w:val="center"/>
          </w:tcPr>
          <w:p>
            <w:pPr>
              <w:spacing w:before="0" w:after="0"/>
              <w:jc w:val="right"/>
            </w:pPr>
            <w:r>
              <w:rPr>
                <w:rFonts w:ascii="Arial" w:hAnsi="Arial" w:cs="Arial"/>
                <w:b/>
                <w:color w:val="FFFFFF"/>
                <w:sz w:val="17"/>
                <w:szCs w:val="17"/>
              </w:rPr>
              <w:t xml:space="preserve">Amount</w:t>
            </w:r>
          </w:p>
        </w:tc>
        <w:tc>
          <w:tcPr>
            <w:tcW w:w="1828" w:type="dxa"/>
            <w:shd w:val="clear" w:color="auto" w:fill="122F5C"/>
            <w:vAlign w:val="center"/>
          </w:tcPr>
          <w:p>
            <w:pPr>
              <w:spacing w:before="0" w:after="0"/>
              <w:jc w:val="right"/>
            </w:pPr>
            <w:r>
              <w:rPr>
                <w:rFonts w:ascii="Arial" w:hAnsi="Arial" w:cs="Arial"/>
                <w:b/>
                <w:color w:val="FFFFFF"/>
                <w:sz w:val="17"/>
                <w:szCs w:val="17"/>
              </w:rPr>
              <w:t xml:space="preserve">Total</w:t>
            </w:r>
          </w:p>
        </w:tc>
      </w:tr>
      <w:tr>
        <w:trPr>
          <w:cantSplit/>
        </w:trPr>
        <w:tc>
          <w:tcPr>
            <w:tcW w:w="5963" w:type="dxa"/>
            <w:tcBorders>
              <w:bottom w:val="single" w:sz="2" w:space="0" w:color="E3E7EC"/>
            </w:tcBorders>
            <w:shd w:val="clear" w:color="auto" w:fill="1B4B8A"/>
          </w:tcPr>
          <w:p>
            <w:pPr>
              <w:spacing w:before="0" w:after="0" w:line="250" w:lineRule="auto"/>
              <w:jc w:val="left"/>
            </w:pPr>
            <w:r>
              <w:rPr>
                <w:rFonts w:ascii="Arial" w:hAnsi="Arial" w:cs="Arial"/>
                <w:b/>
                <w:color w:val="FFFFFF"/>
                <w:sz w:val="17"/>
                <w:szCs w:val="17"/>
              </w:rPr>
              <w:t xml:space="preserve">A.  Cash Flow from Operating Activities</w:t>
            </w:r>
          </w:p>
        </w:tc>
        <w:tc>
          <w:tcPr>
            <w:tcW w:w="1827" w:type="dxa"/>
            <w:tcBorders>
              <w:bottom w:val="single" w:sz="2" w:space="0" w:color="E3E7EC"/>
            </w:tcBorders>
            <w:shd w:val="clear" w:color="auto" w:fill="1B4B8A"/>
          </w:tcPr>
          <w:p>
            <w:pPr>
              <w:spacing w:before="0" w:after="0" w:line="250" w:lineRule="auto"/>
              <w:jc w:val="right"/>
            </w:pPr>
          </w:p>
        </w:tc>
        <w:tc>
          <w:tcPr>
            <w:tcW w:w="1828" w:type="dxa"/>
            <w:tcBorders>
              <w:bottom w:val="single" w:sz="2" w:space="0" w:color="E3E7EC"/>
            </w:tcBorders>
            <w:shd w:val="clear" w:color="auto" w:fill="1B4B8A"/>
          </w:tcPr>
          <w:p>
            <w:pPr>
              <w:spacing w:before="0" w:after="0" w:line="250" w:lineRule="auto"/>
              <w:jc w:val="right"/>
            </w:pPr>
          </w:p>
        </w:tc>
      </w:tr>
      <w:tr>
        <w:trPr>
          <w:cantSplit/>
        </w:trPr>
        <w:tc>
          <w:tcPr>
            <w:tcW w:w="596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Profit before tax</w:t>
            </w:r>
          </w:p>
        </w:tc>
        <w:tc>
          <w:tcPr>
            <w:tcW w:w="1827"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24.70</w:t>
            </w:r>
          </w:p>
        </w:tc>
        <w:tc>
          <w:tcPr>
            <w:tcW w:w="1828" w:type="dxa"/>
            <w:tcBorders>
              <w:bottom w:val="single" w:sz="2" w:space="0" w:color="E3E7EC"/>
            </w:tcBorders>
            <w:shd w:val="clear" w:color="auto" w:fill="FAFBFD"/>
          </w:tcPr>
          <w:p>
            <w:pPr>
              <w:spacing w:before="0" w:after="0" w:line="250" w:lineRule="auto"/>
              <w:jc w:val="right"/>
            </w:pPr>
          </w:p>
        </w:tc>
      </w:tr>
      <w:tr>
        <w:trPr>
          <w:cantSplit/>
        </w:trPr>
        <w:tc>
          <w:tcPr>
            <w:tcW w:w="596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Add: Depreciation and amortisation</w:t>
            </w:r>
          </w:p>
        </w:tc>
        <w:tc>
          <w:tcPr>
            <w:tcW w:w="182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3.50</w:t>
            </w:r>
          </w:p>
        </w:tc>
        <w:tc>
          <w:tcPr>
            <w:tcW w:w="1828" w:type="dxa"/>
            <w:tcBorders>
              <w:bottom w:val="single" w:sz="2" w:space="0" w:color="E3E7EC"/>
            </w:tcBorders>
            <w:shd w:val="clear" w:color="auto" w:fill="FFFFFF"/>
          </w:tcPr>
          <w:p>
            <w:pPr>
              <w:spacing w:before="0" w:after="0" w:line="250" w:lineRule="auto"/>
              <w:jc w:val="right"/>
            </w:pPr>
          </w:p>
        </w:tc>
      </w:tr>
      <w:tr>
        <w:trPr>
          <w:cantSplit/>
        </w:trPr>
        <w:tc>
          <w:tcPr>
            <w:tcW w:w="596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Add: Finance cost</w:t>
            </w:r>
          </w:p>
        </w:tc>
        <w:tc>
          <w:tcPr>
            <w:tcW w:w="1827"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1.60</w:t>
            </w:r>
          </w:p>
        </w:tc>
        <w:tc>
          <w:tcPr>
            <w:tcW w:w="1828" w:type="dxa"/>
            <w:tcBorders>
              <w:bottom w:val="single" w:sz="2" w:space="0" w:color="E3E7EC"/>
            </w:tcBorders>
            <w:shd w:val="clear" w:color="auto" w:fill="FAFBFD"/>
          </w:tcPr>
          <w:p>
            <w:pPr>
              <w:spacing w:before="0" w:after="0" w:line="250" w:lineRule="auto"/>
              <w:jc w:val="right"/>
            </w:pPr>
          </w:p>
        </w:tc>
      </w:tr>
      <w:tr>
        <w:trPr>
          <w:cantSplit/>
        </w:trPr>
        <w:tc>
          <w:tcPr>
            <w:tcW w:w="596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Less: Other income</w:t>
            </w:r>
          </w:p>
        </w:tc>
        <w:tc>
          <w:tcPr>
            <w:tcW w:w="182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(3.40)</w:t>
            </w:r>
          </w:p>
        </w:tc>
        <w:tc>
          <w:tcPr>
            <w:tcW w:w="1828" w:type="dxa"/>
            <w:tcBorders>
              <w:bottom w:val="single" w:sz="2" w:space="0" w:color="E3E7EC"/>
            </w:tcBorders>
            <w:shd w:val="clear" w:color="auto" w:fill="FFFFFF"/>
          </w:tcPr>
          <w:p>
            <w:pPr>
              <w:spacing w:before="0" w:after="0" w:line="250" w:lineRule="auto"/>
              <w:jc w:val="right"/>
            </w:pPr>
          </w:p>
        </w:tc>
      </w:tr>
      <w:tr>
        <w:trPr>
          <w:cantSplit/>
        </w:trPr>
        <w:tc>
          <w:tcPr>
            <w:tcW w:w="5963" w:type="dxa"/>
            <w:tcBorders>
              <w:bottom w:val="single" w:sz="2" w:space="0" w:color="E3E7EC"/>
            </w:tcBorders>
            <w:shd w:val="clear" w:color="auto" w:fill="D8E7F7"/>
          </w:tcPr>
          <w:p>
            <w:pPr>
              <w:spacing w:before="0" w:after="0" w:line="250" w:lineRule="auto"/>
              <w:jc w:val="left"/>
            </w:pPr>
            <w:r>
              <w:rPr>
                <w:rFonts w:ascii="Arial" w:hAnsi="Arial" w:cs="Arial"/>
                <w:b/>
                <w:color w:val="122F5C"/>
                <w:sz w:val="17"/>
                <w:szCs w:val="17"/>
              </w:rPr>
              <w:t xml:space="preserve">Operating profit before working capital changes</w:t>
            </w:r>
          </w:p>
        </w:tc>
        <w:tc>
          <w:tcPr>
            <w:tcW w:w="1827"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26.40</w:t>
            </w:r>
          </w:p>
        </w:tc>
        <w:tc>
          <w:tcPr>
            <w:tcW w:w="1828" w:type="dxa"/>
            <w:tcBorders>
              <w:bottom w:val="single" w:sz="2" w:space="0" w:color="E3E7EC"/>
            </w:tcBorders>
            <w:shd w:val="clear" w:color="auto" w:fill="D8E7F7"/>
          </w:tcPr>
          <w:p>
            <w:pPr>
              <w:spacing w:before="0" w:after="0" w:line="250" w:lineRule="auto"/>
              <w:jc w:val="right"/>
            </w:pPr>
          </w:p>
        </w:tc>
      </w:tr>
      <w:tr>
        <w:trPr>
          <w:cantSplit/>
        </w:trPr>
        <w:tc>
          <w:tcPr>
            <w:tcW w:w="596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Increase in trade receivables</w:t>
            </w:r>
          </w:p>
        </w:tc>
        <w:tc>
          <w:tcPr>
            <w:tcW w:w="182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(6.20)</w:t>
            </w:r>
          </w:p>
        </w:tc>
        <w:tc>
          <w:tcPr>
            <w:tcW w:w="1828" w:type="dxa"/>
            <w:tcBorders>
              <w:bottom w:val="single" w:sz="2" w:space="0" w:color="E3E7EC"/>
            </w:tcBorders>
            <w:shd w:val="clear" w:color="auto" w:fill="FFFFFF"/>
          </w:tcPr>
          <w:p>
            <w:pPr>
              <w:spacing w:before="0" w:after="0" w:line="250" w:lineRule="auto"/>
              <w:jc w:val="right"/>
            </w:pPr>
          </w:p>
        </w:tc>
      </w:tr>
      <w:tr>
        <w:trPr>
          <w:cantSplit/>
        </w:trPr>
        <w:tc>
          <w:tcPr>
            <w:tcW w:w="596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Increase in short-term loans and advances</w:t>
            </w:r>
          </w:p>
        </w:tc>
        <w:tc>
          <w:tcPr>
            <w:tcW w:w="1827"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(1.70)</w:t>
            </w:r>
          </w:p>
        </w:tc>
        <w:tc>
          <w:tcPr>
            <w:tcW w:w="1828" w:type="dxa"/>
            <w:tcBorders>
              <w:bottom w:val="single" w:sz="2" w:space="0" w:color="E3E7EC"/>
            </w:tcBorders>
            <w:shd w:val="clear" w:color="auto" w:fill="FAFBFD"/>
          </w:tcPr>
          <w:p>
            <w:pPr>
              <w:spacing w:before="0" w:after="0" w:line="250" w:lineRule="auto"/>
              <w:jc w:val="right"/>
            </w:pPr>
          </w:p>
        </w:tc>
      </w:tr>
      <w:tr>
        <w:trPr>
          <w:cantSplit/>
        </w:trPr>
        <w:tc>
          <w:tcPr>
            <w:tcW w:w="596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Increase in other current assets</w:t>
            </w:r>
          </w:p>
        </w:tc>
        <w:tc>
          <w:tcPr>
            <w:tcW w:w="182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(1.30)</w:t>
            </w:r>
          </w:p>
        </w:tc>
        <w:tc>
          <w:tcPr>
            <w:tcW w:w="1828" w:type="dxa"/>
            <w:tcBorders>
              <w:bottom w:val="single" w:sz="2" w:space="0" w:color="E3E7EC"/>
            </w:tcBorders>
            <w:shd w:val="clear" w:color="auto" w:fill="FFFFFF"/>
          </w:tcPr>
          <w:p>
            <w:pPr>
              <w:spacing w:before="0" w:after="0" w:line="250" w:lineRule="auto"/>
              <w:jc w:val="right"/>
            </w:pPr>
          </w:p>
        </w:tc>
      </w:tr>
      <w:tr>
        <w:trPr>
          <w:cantSplit/>
        </w:trPr>
        <w:tc>
          <w:tcPr>
            <w:tcW w:w="596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Increase in trade payables</w:t>
            </w:r>
          </w:p>
        </w:tc>
        <w:tc>
          <w:tcPr>
            <w:tcW w:w="1827"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4.50</w:t>
            </w:r>
          </w:p>
        </w:tc>
        <w:tc>
          <w:tcPr>
            <w:tcW w:w="1828" w:type="dxa"/>
            <w:tcBorders>
              <w:bottom w:val="single" w:sz="2" w:space="0" w:color="E3E7EC"/>
            </w:tcBorders>
            <w:shd w:val="clear" w:color="auto" w:fill="FAFBFD"/>
          </w:tcPr>
          <w:p>
            <w:pPr>
              <w:spacing w:before="0" w:after="0" w:line="250" w:lineRule="auto"/>
              <w:jc w:val="right"/>
            </w:pPr>
          </w:p>
        </w:tc>
      </w:tr>
      <w:tr>
        <w:trPr>
          <w:cantSplit/>
        </w:trPr>
        <w:tc>
          <w:tcPr>
            <w:tcW w:w="596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Increase in other current liabilities</w:t>
            </w:r>
          </w:p>
        </w:tc>
        <w:tc>
          <w:tcPr>
            <w:tcW w:w="182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3.08</w:t>
            </w:r>
          </w:p>
        </w:tc>
        <w:tc>
          <w:tcPr>
            <w:tcW w:w="1828" w:type="dxa"/>
            <w:tcBorders>
              <w:bottom w:val="single" w:sz="2" w:space="0" w:color="E3E7EC"/>
            </w:tcBorders>
            <w:shd w:val="clear" w:color="auto" w:fill="FFFFFF"/>
          </w:tcPr>
          <w:p>
            <w:pPr>
              <w:spacing w:before="0" w:after="0" w:line="250" w:lineRule="auto"/>
              <w:jc w:val="right"/>
            </w:pPr>
          </w:p>
        </w:tc>
      </w:tr>
      <w:tr>
        <w:trPr>
          <w:cantSplit/>
        </w:trPr>
        <w:tc>
          <w:tcPr>
            <w:tcW w:w="5963" w:type="dxa"/>
            <w:tcBorders>
              <w:bottom w:val="single" w:sz="2" w:space="0" w:color="E3E7EC"/>
            </w:tcBorders>
            <w:shd w:val="clear" w:color="auto" w:fill="D8E7F7"/>
          </w:tcPr>
          <w:p>
            <w:pPr>
              <w:spacing w:before="0" w:after="0" w:line="250" w:lineRule="auto"/>
              <w:jc w:val="left"/>
            </w:pPr>
            <w:r>
              <w:rPr>
                <w:rFonts w:ascii="Arial" w:hAnsi="Arial" w:cs="Arial"/>
                <w:b/>
                <w:color w:val="122F5C"/>
                <w:sz w:val="17"/>
                <w:szCs w:val="17"/>
              </w:rPr>
              <w:t xml:space="preserve">Cash generated from operations</w:t>
            </w:r>
          </w:p>
        </w:tc>
        <w:tc>
          <w:tcPr>
            <w:tcW w:w="1827"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24.78</w:t>
            </w:r>
          </w:p>
        </w:tc>
        <w:tc>
          <w:tcPr>
            <w:tcW w:w="1828" w:type="dxa"/>
            <w:tcBorders>
              <w:bottom w:val="single" w:sz="2" w:space="0" w:color="E3E7EC"/>
            </w:tcBorders>
            <w:shd w:val="clear" w:color="auto" w:fill="D8E7F7"/>
          </w:tcPr>
          <w:p>
            <w:pPr>
              <w:spacing w:before="0" w:after="0" w:line="250" w:lineRule="auto"/>
              <w:jc w:val="right"/>
            </w:pPr>
          </w:p>
        </w:tc>
      </w:tr>
      <w:tr>
        <w:trPr>
          <w:cantSplit/>
        </w:trPr>
        <w:tc>
          <w:tcPr>
            <w:tcW w:w="596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Less: Income tax paid</w:t>
            </w:r>
          </w:p>
        </w:tc>
        <w:tc>
          <w:tcPr>
            <w:tcW w:w="182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(6.17)</w:t>
            </w:r>
          </w:p>
        </w:tc>
        <w:tc>
          <w:tcPr>
            <w:tcW w:w="1828" w:type="dxa"/>
            <w:tcBorders>
              <w:bottom w:val="single" w:sz="2" w:space="0" w:color="E3E7EC"/>
            </w:tcBorders>
            <w:shd w:val="clear" w:color="auto" w:fill="FFFFFF"/>
          </w:tcPr>
          <w:p>
            <w:pPr>
              <w:spacing w:before="0" w:after="0" w:line="250" w:lineRule="auto"/>
              <w:jc w:val="right"/>
            </w:pPr>
          </w:p>
        </w:tc>
      </w:tr>
      <w:tr>
        <w:trPr>
          <w:cantSplit/>
        </w:trPr>
        <w:tc>
          <w:tcPr>
            <w:tcW w:w="5963" w:type="dxa"/>
            <w:tcBorders>
              <w:bottom w:val="single" w:sz="2" w:space="0" w:color="E3E7EC"/>
            </w:tcBorders>
            <w:shd w:val="clear" w:color="auto" w:fill="D8E7F7"/>
          </w:tcPr>
          <w:p>
            <w:pPr>
              <w:spacing w:before="0" w:after="0" w:line="250" w:lineRule="auto"/>
              <w:jc w:val="left"/>
            </w:pPr>
            <w:r>
              <w:rPr>
                <w:rFonts w:ascii="Arial" w:hAnsi="Arial" w:cs="Arial"/>
                <w:b/>
                <w:color w:val="122F5C"/>
                <w:sz w:val="17"/>
                <w:szCs w:val="17"/>
              </w:rPr>
              <w:t xml:space="preserve">Net cash from operating activities</w:t>
            </w:r>
          </w:p>
        </w:tc>
        <w:tc>
          <w:tcPr>
            <w:tcW w:w="1827" w:type="dxa"/>
            <w:tcBorders>
              <w:bottom w:val="single" w:sz="2" w:space="0" w:color="E3E7EC"/>
            </w:tcBorders>
            <w:shd w:val="clear" w:color="auto" w:fill="D8E7F7"/>
          </w:tcPr>
          <w:p>
            <w:pPr>
              <w:spacing w:before="0" w:after="0" w:line="250" w:lineRule="auto"/>
              <w:jc w:val="right"/>
            </w:pPr>
          </w:p>
        </w:tc>
        <w:tc>
          <w:tcPr>
            <w:tcW w:w="1828"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18.61</w:t>
            </w:r>
          </w:p>
        </w:tc>
      </w:tr>
      <w:tr>
        <w:trPr>
          <w:cantSplit/>
        </w:trPr>
        <w:tc>
          <w:tcPr>
            <w:tcW w:w="5963" w:type="dxa"/>
            <w:tcBorders>
              <w:bottom w:val="single" w:sz="2" w:space="0" w:color="E3E7EC"/>
            </w:tcBorders>
            <w:shd w:val="clear" w:color="auto" w:fill="1B4B8A"/>
          </w:tcPr>
          <w:p>
            <w:pPr>
              <w:spacing w:before="0" w:after="0" w:line="250" w:lineRule="auto"/>
              <w:jc w:val="left"/>
            </w:pPr>
            <w:r>
              <w:rPr>
                <w:rFonts w:ascii="Arial" w:hAnsi="Arial" w:cs="Arial"/>
                <w:b/>
                <w:color w:val="FFFFFF"/>
                <w:sz w:val="17"/>
                <w:szCs w:val="17"/>
              </w:rPr>
              <w:t xml:space="preserve">B.  Cash Flow from Investing Activities</w:t>
            </w:r>
          </w:p>
        </w:tc>
        <w:tc>
          <w:tcPr>
            <w:tcW w:w="1827" w:type="dxa"/>
            <w:tcBorders>
              <w:bottom w:val="single" w:sz="2" w:space="0" w:color="E3E7EC"/>
            </w:tcBorders>
            <w:shd w:val="clear" w:color="auto" w:fill="1B4B8A"/>
          </w:tcPr>
          <w:p>
            <w:pPr>
              <w:spacing w:before="0" w:after="0" w:line="250" w:lineRule="auto"/>
              <w:jc w:val="right"/>
            </w:pPr>
          </w:p>
        </w:tc>
        <w:tc>
          <w:tcPr>
            <w:tcW w:w="1828" w:type="dxa"/>
            <w:tcBorders>
              <w:bottom w:val="single" w:sz="2" w:space="0" w:color="E3E7EC"/>
            </w:tcBorders>
            <w:shd w:val="clear" w:color="auto" w:fill="1B4B8A"/>
          </w:tcPr>
          <w:p>
            <w:pPr>
              <w:spacing w:before="0" w:after="0" w:line="250" w:lineRule="auto"/>
              <w:jc w:val="right"/>
            </w:pPr>
          </w:p>
        </w:tc>
      </w:tr>
      <w:tr>
        <w:trPr>
          <w:cantSplit/>
        </w:trPr>
        <w:tc>
          <w:tcPr>
            <w:tcW w:w="596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Purchase of property, plant, equipment and intangibles</w:t>
            </w:r>
          </w:p>
        </w:tc>
        <w:tc>
          <w:tcPr>
            <w:tcW w:w="1827"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(8.50)</w:t>
            </w:r>
          </w:p>
        </w:tc>
        <w:tc>
          <w:tcPr>
            <w:tcW w:w="1828" w:type="dxa"/>
            <w:tcBorders>
              <w:bottom w:val="single" w:sz="2" w:space="0" w:color="E3E7EC"/>
            </w:tcBorders>
            <w:shd w:val="clear" w:color="auto" w:fill="FAFBFD"/>
          </w:tcPr>
          <w:p>
            <w:pPr>
              <w:spacing w:before="0" w:after="0" w:line="250" w:lineRule="auto"/>
              <w:jc w:val="right"/>
            </w:pPr>
          </w:p>
        </w:tc>
      </w:tr>
      <w:tr>
        <w:trPr>
          <w:cantSplit/>
        </w:trPr>
        <w:tc>
          <w:tcPr>
            <w:tcW w:w="596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Purchase of non-current investments</w:t>
            </w:r>
          </w:p>
        </w:tc>
        <w:tc>
          <w:tcPr>
            <w:tcW w:w="182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(0.50)</w:t>
            </w:r>
          </w:p>
        </w:tc>
        <w:tc>
          <w:tcPr>
            <w:tcW w:w="1828" w:type="dxa"/>
            <w:tcBorders>
              <w:bottom w:val="single" w:sz="2" w:space="0" w:color="E3E7EC"/>
            </w:tcBorders>
            <w:shd w:val="clear" w:color="auto" w:fill="FFFFFF"/>
          </w:tcPr>
          <w:p>
            <w:pPr>
              <w:spacing w:before="0" w:after="0" w:line="250" w:lineRule="auto"/>
              <w:jc w:val="right"/>
            </w:pPr>
          </w:p>
        </w:tc>
      </w:tr>
      <w:tr>
        <w:trPr>
          <w:cantSplit/>
        </w:trPr>
        <w:tc>
          <w:tcPr>
            <w:tcW w:w="596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Other income received</w:t>
            </w:r>
          </w:p>
        </w:tc>
        <w:tc>
          <w:tcPr>
            <w:tcW w:w="1827"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3.40</w:t>
            </w:r>
          </w:p>
        </w:tc>
        <w:tc>
          <w:tcPr>
            <w:tcW w:w="1828" w:type="dxa"/>
            <w:tcBorders>
              <w:bottom w:val="single" w:sz="2" w:space="0" w:color="E3E7EC"/>
            </w:tcBorders>
            <w:shd w:val="clear" w:color="auto" w:fill="FAFBFD"/>
          </w:tcPr>
          <w:p>
            <w:pPr>
              <w:spacing w:before="0" w:after="0" w:line="250" w:lineRule="auto"/>
              <w:jc w:val="right"/>
            </w:pPr>
          </w:p>
        </w:tc>
      </w:tr>
      <w:tr>
        <w:trPr>
          <w:cantSplit/>
        </w:trPr>
        <w:tc>
          <w:tcPr>
            <w:tcW w:w="5963" w:type="dxa"/>
            <w:tcBorders>
              <w:bottom w:val="single" w:sz="2" w:space="0" w:color="E3E7EC"/>
            </w:tcBorders>
            <w:shd w:val="clear" w:color="auto" w:fill="D8E7F7"/>
          </w:tcPr>
          <w:p>
            <w:pPr>
              <w:spacing w:before="0" w:after="0" w:line="250" w:lineRule="auto"/>
              <w:jc w:val="left"/>
            </w:pPr>
            <w:r>
              <w:rPr>
                <w:rFonts w:ascii="Arial" w:hAnsi="Arial" w:cs="Arial"/>
                <w:b/>
                <w:color w:val="122F5C"/>
                <w:sz w:val="17"/>
                <w:szCs w:val="17"/>
              </w:rPr>
              <w:t xml:space="preserve">Net cash used in investing activities</w:t>
            </w:r>
          </w:p>
        </w:tc>
        <w:tc>
          <w:tcPr>
            <w:tcW w:w="1827" w:type="dxa"/>
            <w:tcBorders>
              <w:bottom w:val="single" w:sz="2" w:space="0" w:color="E3E7EC"/>
            </w:tcBorders>
            <w:shd w:val="clear" w:color="auto" w:fill="D8E7F7"/>
          </w:tcPr>
          <w:p>
            <w:pPr>
              <w:spacing w:before="0" w:after="0" w:line="250" w:lineRule="auto"/>
              <w:jc w:val="right"/>
            </w:pPr>
          </w:p>
        </w:tc>
        <w:tc>
          <w:tcPr>
            <w:tcW w:w="1828"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(5.60)</w:t>
            </w:r>
          </w:p>
        </w:tc>
      </w:tr>
      <w:tr>
        <w:trPr>
          <w:cantSplit/>
        </w:trPr>
        <w:tc>
          <w:tcPr>
            <w:tcW w:w="5963" w:type="dxa"/>
            <w:tcBorders>
              <w:bottom w:val="single" w:sz="2" w:space="0" w:color="E3E7EC"/>
            </w:tcBorders>
            <w:shd w:val="clear" w:color="auto" w:fill="1B4B8A"/>
          </w:tcPr>
          <w:p>
            <w:pPr>
              <w:spacing w:before="0" w:after="0" w:line="250" w:lineRule="auto"/>
              <w:jc w:val="left"/>
            </w:pPr>
            <w:r>
              <w:rPr>
                <w:rFonts w:ascii="Arial" w:hAnsi="Arial" w:cs="Arial"/>
                <w:b/>
                <w:color w:val="FFFFFF"/>
                <w:sz w:val="17"/>
                <w:szCs w:val="17"/>
              </w:rPr>
              <w:t xml:space="preserve">C.  Cash Flow from Financing Activities</w:t>
            </w:r>
          </w:p>
        </w:tc>
        <w:tc>
          <w:tcPr>
            <w:tcW w:w="1827" w:type="dxa"/>
            <w:tcBorders>
              <w:bottom w:val="single" w:sz="2" w:space="0" w:color="E3E7EC"/>
            </w:tcBorders>
            <w:shd w:val="clear" w:color="auto" w:fill="1B4B8A"/>
          </w:tcPr>
          <w:p>
            <w:pPr>
              <w:spacing w:before="0" w:after="0" w:line="250" w:lineRule="auto"/>
              <w:jc w:val="right"/>
            </w:pPr>
          </w:p>
        </w:tc>
        <w:tc>
          <w:tcPr>
            <w:tcW w:w="1828" w:type="dxa"/>
            <w:tcBorders>
              <w:bottom w:val="single" w:sz="2" w:space="0" w:color="E3E7EC"/>
            </w:tcBorders>
            <w:shd w:val="clear" w:color="auto" w:fill="1B4B8A"/>
          </w:tcPr>
          <w:p>
            <w:pPr>
              <w:spacing w:before="0" w:after="0" w:line="250" w:lineRule="auto"/>
              <w:jc w:val="right"/>
            </w:pPr>
          </w:p>
        </w:tc>
      </w:tr>
      <w:tr>
        <w:trPr>
          <w:cantSplit/>
        </w:trPr>
        <w:tc>
          <w:tcPr>
            <w:tcW w:w="596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Repayment of long-term borrowings</w:t>
            </w:r>
          </w:p>
        </w:tc>
        <w:tc>
          <w:tcPr>
            <w:tcW w:w="182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(1.50)</w:t>
            </w:r>
          </w:p>
        </w:tc>
        <w:tc>
          <w:tcPr>
            <w:tcW w:w="1828" w:type="dxa"/>
            <w:tcBorders>
              <w:bottom w:val="single" w:sz="2" w:space="0" w:color="E3E7EC"/>
            </w:tcBorders>
            <w:shd w:val="clear" w:color="auto" w:fill="FFFFFF"/>
          </w:tcPr>
          <w:p>
            <w:pPr>
              <w:spacing w:before="0" w:after="0" w:line="250" w:lineRule="auto"/>
              <w:jc w:val="right"/>
            </w:pPr>
          </w:p>
        </w:tc>
      </w:tr>
      <w:tr>
        <w:trPr>
          <w:cantSplit/>
        </w:trPr>
        <w:tc>
          <w:tcPr>
            <w:tcW w:w="596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Increase in short-term borrowings</w:t>
            </w:r>
          </w:p>
        </w:tc>
        <w:tc>
          <w:tcPr>
            <w:tcW w:w="1827"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0.50</w:t>
            </w:r>
          </w:p>
        </w:tc>
        <w:tc>
          <w:tcPr>
            <w:tcW w:w="1828" w:type="dxa"/>
            <w:tcBorders>
              <w:bottom w:val="single" w:sz="2" w:space="0" w:color="E3E7EC"/>
            </w:tcBorders>
            <w:shd w:val="clear" w:color="auto" w:fill="FAFBFD"/>
          </w:tcPr>
          <w:p>
            <w:pPr>
              <w:spacing w:before="0" w:after="0" w:line="250" w:lineRule="auto"/>
              <w:jc w:val="right"/>
            </w:pPr>
          </w:p>
        </w:tc>
      </w:tr>
      <w:tr>
        <w:trPr>
          <w:cantSplit/>
        </w:trPr>
        <w:tc>
          <w:tcPr>
            <w:tcW w:w="596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Finance cost paid</w:t>
            </w:r>
          </w:p>
        </w:tc>
        <w:tc>
          <w:tcPr>
            <w:tcW w:w="182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(1.60)</w:t>
            </w:r>
          </w:p>
        </w:tc>
        <w:tc>
          <w:tcPr>
            <w:tcW w:w="1828" w:type="dxa"/>
            <w:tcBorders>
              <w:bottom w:val="single" w:sz="2" w:space="0" w:color="E3E7EC"/>
            </w:tcBorders>
            <w:shd w:val="clear" w:color="auto" w:fill="FFFFFF"/>
          </w:tcPr>
          <w:p>
            <w:pPr>
              <w:spacing w:before="0" w:after="0" w:line="250" w:lineRule="auto"/>
              <w:jc w:val="right"/>
            </w:pPr>
          </w:p>
        </w:tc>
      </w:tr>
      <w:tr>
        <w:trPr>
          <w:cantSplit/>
        </w:trPr>
        <w:tc>
          <w:tcPr>
            <w:tcW w:w="5963" w:type="dxa"/>
            <w:tcBorders>
              <w:bottom w:val="single" w:sz="2" w:space="0" w:color="E3E7EC"/>
            </w:tcBorders>
            <w:shd w:val="clear" w:color="auto" w:fill="D8E7F7"/>
          </w:tcPr>
          <w:p>
            <w:pPr>
              <w:spacing w:before="0" w:after="0" w:line="250" w:lineRule="auto"/>
              <w:jc w:val="left"/>
            </w:pPr>
            <w:r>
              <w:rPr>
                <w:rFonts w:ascii="Arial" w:hAnsi="Arial" w:cs="Arial"/>
                <w:b/>
                <w:color w:val="122F5C"/>
                <w:sz w:val="17"/>
                <w:szCs w:val="17"/>
              </w:rPr>
              <w:t xml:space="preserve">Net cash used in financing activities</w:t>
            </w:r>
          </w:p>
        </w:tc>
        <w:tc>
          <w:tcPr>
            <w:tcW w:w="1827" w:type="dxa"/>
            <w:tcBorders>
              <w:bottom w:val="single" w:sz="2" w:space="0" w:color="E3E7EC"/>
            </w:tcBorders>
            <w:shd w:val="clear" w:color="auto" w:fill="D8E7F7"/>
          </w:tcPr>
          <w:p>
            <w:pPr>
              <w:spacing w:before="0" w:after="0" w:line="250" w:lineRule="auto"/>
              <w:jc w:val="right"/>
            </w:pPr>
          </w:p>
        </w:tc>
        <w:tc>
          <w:tcPr>
            <w:tcW w:w="1828"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(2.60)</w:t>
            </w:r>
          </w:p>
        </w:tc>
      </w:tr>
      <w:tr>
        <w:trPr>
          <w:cantSplit/>
        </w:trPr>
        <w:tc>
          <w:tcPr>
            <w:tcW w:w="5963" w:type="dxa"/>
            <w:tcBorders>
              <w:bottom w:val="single" w:sz="2" w:space="0" w:color="E3E7EC"/>
            </w:tcBorders>
            <w:shd w:val="clear" w:color="auto" w:fill="D8E7F7"/>
          </w:tcPr>
          <w:p>
            <w:pPr>
              <w:spacing w:before="0" w:after="0" w:line="250" w:lineRule="auto"/>
              <w:jc w:val="left"/>
            </w:pPr>
            <w:r>
              <w:rPr>
                <w:rFonts w:ascii="Arial" w:hAnsi="Arial" w:cs="Arial"/>
                <w:b/>
                <w:color w:val="122F5C"/>
                <w:sz w:val="17"/>
                <w:szCs w:val="17"/>
              </w:rPr>
              <w:t xml:space="preserve">Net increase in cash and cash equivalents (A+B+C)</w:t>
            </w:r>
          </w:p>
        </w:tc>
        <w:tc>
          <w:tcPr>
            <w:tcW w:w="1827" w:type="dxa"/>
            <w:tcBorders>
              <w:bottom w:val="single" w:sz="2" w:space="0" w:color="E3E7EC"/>
            </w:tcBorders>
            <w:shd w:val="clear" w:color="auto" w:fill="D8E7F7"/>
          </w:tcPr>
          <w:p>
            <w:pPr>
              <w:spacing w:before="0" w:after="0" w:line="250" w:lineRule="auto"/>
              <w:jc w:val="right"/>
            </w:pPr>
          </w:p>
        </w:tc>
        <w:tc>
          <w:tcPr>
            <w:tcW w:w="1828"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10.41</w:t>
            </w:r>
          </w:p>
        </w:tc>
      </w:tr>
      <w:tr>
        <w:trPr>
          <w:cantSplit/>
        </w:trPr>
        <w:tc>
          <w:tcPr>
            <w:tcW w:w="596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Cash and bank balances at the beginning of the year</w:t>
            </w:r>
          </w:p>
        </w:tc>
        <w:tc>
          <w:tcPr>
            <w:tcW w:w="1827" w:type="dxa"/>
            <w:tcBorders>
              <w:bottom w:val="single" w:sz="2" w:space="0" w:color="E3E7EC"/>
            </w:tcBorders>
            <w:shd w:val="clear" w:color="auto" w:fill="FAFBFD"/>
          </w:tcPr>
          <w:p>
            <w:pPr>
              <w:spacing w:before="0" w:after="0" w:line="250" w:lineRule="auto"/>
              <w:jc w:val="right"/>
            </w:pPr>
          </w:p>
        </w:tc>
        <w:tc>
          <w:tcPr>
            <w:tcW w:w="182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14.20</w:t>
            </w:r>
          </w:p>
        </w:tc>
      </w:tr>
      <w:tr>
        <w:trPr>
          <w:cantSplit/>
        </w:trPr>
        <w:tc>
          <w:tcPr>
            <w:tcW w:w="5963" w:type="dxa"/>
            <w:tcBorders>
              <w:bottom w:val="single" w:sz="2" w:space="0" w:color="E3E7EC"/>
            </w:tcBorders>
            <w:shd w:val="clear" w:color="auto" w:fill="D8E7F7"/>
          </w:tcPr>
          <w:p>
            <w:pPr>
              <w:spacing w:before="0" w:after="0" w:line="250" w:lineRule="auto"/>
              <w:jc w:val="left"/>
            </w:pPr>
            <w:r>
              <w:rPr>
                <w:rFonts w:ascii="Arial" w:hAnsi="Arial" w:cs="Arial"/>
                <w:b/>
                <w:color w:val="122F5C"/>
                <w:sz w:val="17"/>
                <w:szCs w:val="17"/>
              </w:rPr>
              <w:t xml:space="preserve">Cash and bank balances at the end of the year</w:t>
            </w:r>
          </w:p>
        </w:tc>
        <w:tc>
          <w:tcPr>
            <w:tcW w:w="1827" w:type="dxa"/>
            <w:tcBorders>
              <w:bottom w:val="single" w:sz="2" w:space="0" w:color="E3E7EC"/>
            </w:tcBorders>
            <w:shd w:val="clear" w:color="auto" w:fill="D8E7F7"/>
          </w:tcPr>
          <w:p>
            <w:pPr>
              <w:spacing w:before="0" w:after="0" w:line="250" w:lineRule="auto"/>
              <w:jc w:val="right"/>
            </w:pPr>
          </w:p>
        </w:tc>
        <w:tc>
          <w:tcPr>
            <w:tcW w:w="1828"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24.61</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Prepared under the indirect method. The statement reconciles to the movement in cash and bank balances on the face of the Balance Sheet.</w:t>
      </w:r>
    </w:p>
    <w:p>
      <w:pPr>
        <w:spacing w:before="80" w:after="80"/>
        <w:jc w:val="center"/>
      </w:pPr>
      <w:r>
        <w:drawing>
          <wp:inline distT="0" distB="0" distL="0" distR="0">
            <wp:extent cx="5308600" cy="3185160"/>
            <wp:docPr id="11" name="Picture 11"/>
            <a:graphic>
              <a:graphicData uri="http://schemas.openxmlformats.org/drawingml/2006/picture">
                <pic:pic>
                  <pic:nvPicPr>
                    <pic:cNvPr id="11" name="fig17_cash_bridge.png"/>
                    <pic:cNvPicPr/>
                  </pic:nvPicPr>
                  <pic:blipFill>
                    <a:blip r:embed="rId110"/>
                    <a:stretch>
                      <a:fillRect/>
                    </a:stretch>
                  </pic:blipFill>
                  <pic:spPr>
                    <a:xfrm>
                      <a:off x="0" y="0"/>
                      <a:ext cx="5308600" cy="3185160"/>
                    </a:xfrm>
                    <a:prstGeom prst="rect">
                      <a:avLst/>
                    </a:prstGeom>
                  </pic:spPr>
                </pic:pic>
              </a:graphicData>
            </a:graphic>
          </wp:inline>
        </w:drawing>
      </w:r>
    </w:p>
    <w:p>
      <w:pPr>
        <w:spacing w:before="20" w:after="40"/>
        <w:jc w:val="center"/>
      </w:pPr>
      <w:r>
        <w:rPr>
          <w:rFonts w:ascii="Arial" w:hAnsi="Arial" w:cs="Arial"/>
          <w:b/>
          <w:color w:val="E87A1E"/>
          <w:sz w:val="18"/>
          <w:szCs w:val="18"/>
        </w:rPr>
        <w:t xml:space="preserve">Figure 4.7  </w:t>
      </w:r>
      <w:r>
        <w:rPr>
          <w:rFonts w:ascii="Arial" w:hAnsi="Arial" w:cs="Arial"/>
          <w:color w:val="444A55"/>
          <w:sz w:val="18"/>
          <w:szCs w:val="18"/>
        </w:rPr>
        <w:t xml:space="preserve">Cash flow bridge from opening to closing cash, FY 2025-26</w:t>
      </w:r>
    </w:p>
    <w:p>
      <w:pPr>
        <w:spacing w:before="0" w:after="180"/>
        <w:jc w:val="center"/>
      </w:pPr>
      <w:r>
        <w:rPr>
          <w:rFonts w:ascii="Times New Roman" w:hAnsi="Times New Roman" w:cs="Times New Roman"/>
          <w:i/>
          <w:color w:val="8A919C"/>
          <w:sz w:val="16"/>
          <w:szCs w:val="16"/>
        </w:rPr>
        <w:t xml:space="preserve">Derived from Table 4.8.</w:t>
      </w:r>
    </w:p>
    <w:p>
      <w:pPr>
        <w:spacing w:before="0" w:after="130" w:line="264" w:lineRule="auto"/>
        <w:jc w:val="both"/>
      </w:pPr>
      <w:r>
        <w:rPr>
          <w:rFonts w:ascii="Times New Roman" w:hAnsi="Times New Roman" w:cs="Times New Roman"/>
          <w:color w:val="1A1A1A"/>
          <w:sz w:val="21"/>
          <w:szCs w:val="21"/>
        </w:rPr>
        <w:t xml:space="preserve">Three conclusions follow from Table 4.8. First, net cash from operating activities of ₹ 18.61 lakh exceeded profit after tax of ₹ 18.53 lakh, which means the reported profit is converting into cash and is not an artefact of accrual. Second, operating cash alone financed the entire capital programme of ₹ 8.50 lakh without recourse to fresh borrowing. Third, the company used the surplus to reduce long-term debt by ₹ 1.50 lakh and still increased its cash balance by ₹ 10.41 lakh. This is the signature of a self-financing business.</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4.7  The Balance Sheet and the Pattern of Financing</w:t>
      </w:r>
    </w:p>
    <w:p>
      <w:pPr>
        <w:keepNext/>
        <w:keepLines/>
        <w:spacing w:before="220" w:after="60"/>
      </w:pPr>
      <w:r>
        <w:rPr>
          <w:rFonts w:ascii="Arial" w:hAnsi="Arial" w:cs="Arial"/>
          <w:b/>
          <w:color w:val="E87A1E"/>
          <w:sz w:val="19"/>
          <w:szCs w:val="19"/>
        </w:rPr>
        <w:t xml:space="preserve">Table 4.9  </w:t>
      </w:r>
      <w:r>
        <w:rPr>
          <w:rFonts w:ascii="Arial" w:hAnsi="Arial" w:cs="Arial"/>
          <w:b/>
          <w:color w:val="122F5C"/>
          <w:sz w:val="19"/>
          <w:szCs w:val="19"/>
        </w:rPr>
        <w:t xml:space="preserve">Balance Sheet as at the close of each year (₹ in lakh)</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3847"/>
        <w:gridCol w:w="1923"/>
        <w:gridCol w:w="1923"/>
        <w:gridCol w:w="1925"/>
      </w:tblGrid>
      <w:tr>
        <w:trPr>
          <w:cantSplit/>
          <w:tblHeader/>
        </w:trPr>
        <w:tc>
          <w:tcPr>
            <w:tcW w:w="3847" w:type="dxa"/>
            <w:shd w:val="clear" w:color="auto" w:fill="122F5C"/>
            <w:vAlign w:val="center"/>
          </w:tcPr>
          <w:p>
            <w:pPr>
              <w:spacing w:before="0" w:after="0"/>
              <w:jc w:val="left"/>
            </w:pPr>
            <w:r>
              <w:rPr>
                <w:rFonts w:ascii="Arial" w:hAnsi="Arial" w:cs="Arial"/>
                <w:b/>
                <w:color w:val="FFFFFF"/>
                <w:sz w:val="17"/>
                <w:szCs w:val="17"/>
              </w:rPr>
              <w:t xml:space="preserve">Particulars</w:t>
            </w:r>
          </w:p>
        </w:tc>
        <w:tc>
          <w:tcPr>
            <w:tcW w:w="1923" w:type="dxa"/>
            <w:shd w:val="clear" w:color="auto" w:fill="122F5C"/>
            <w:vAlign w:val="center"/>
          </w:tcPr>
          <w:p>
            <w:pPr>
              <w:spacing w:before="0" w:after="0"/>
              <w:jc w:val="right"/>
            </w:pPr>
            <w:r>
              <w:rPr>
                <w:rFonts w:ascii="Arial" w:hAnsi="Arial" w:cs="Arial"/>
                <w:b/>
                <w:color w:val="FFFFFF"/>
                <w:sz w:val="17"/>
                <w:szCs w:val="17"/>
              </w:rPr>
              <w:t xml:space="preserve">FY 2023-24</w:t>
            </w:r>
          </w:p>
        </w:tc>
        <w:tc>
          <w:tcPr>
            <w:tcW w:w="1923" w:type="dxa"/>
            <w:shd w:val="clear" w:color="auto" w:fill="122F5C"/>
            <w:vAlign w:val="center"/>
          </w:tcPr>
          <w:p>
            <w:pPr>
              <w:spacing w:before="0" w:after="0"/>
              <w:jc w:val="right"/>
            </w:pPr>
            <w:r>
              <w:rPr>
                <w:rFonts w:ascii="Arial" w:hAnsi="Arial" w:cs="Arial"/>
                <w:b/>
                <w:color w:val="FFFFFF"/>
                <w:sz w:val="17"/>
                <w:szCs w:val="17"/>
              </w:rPr>
              <w:t xml:space="preserve">FY 2024-25</w:t>
            </w:r>
          </w:p>
        </w:tc>
        <w:tc>
          <w:tcPr>
            <w:tcW w:w="1925" w:type="dxa"/>
            <w:shd w:val="clear" w:color="auto" w:fill="122F5C"/>
            <w:vAlign w:val="center"/>
          </w:tcPr>
          <w:p>
            <w:pPr>
              <w:spacing w:before="0" w:after="0"/>
              <w:jc w:val="right"/>
            </w:pPr>
            <w:r>
              <w:rPr>
                <w:rFonts w:ascii="Arial" w:hAnsi="Arial" w:cs="Arial"/>
                <w:b/>
                <w:color w:val="FFFFFF"/>
                <w:sz w:val="17"/>
                <w:szCs w:val="17"/>
              </w:rPr>
              <w:t xml:space="preserve">FY 2025-26</w:t>
            </w:r>
          </w:p>
        </w:tc>
      </w:tr>
      <w:tr>
        <w:trPr>
          <w:cantSplit/>
        </w:trPr>
        <w:tc>
          <w:tcPr>
            <w:tcW w:w="3847" w:type="dxa"/>
            <w:tcBorders>
              <w:bottom w:val="single" w:sz="2" w:space="0" w:color="E3E7EC"/>
            </w:tcBorders>
            <w:shd w:val="clear" w:color="auto" w:fill="1B4B8A"/>
          </w:tcPr>
          <w:p>
            <w:pPr>
              <w:spacing w:before="0" w:after="0" w:line="250" w:lineRule="auto"/>
              <w:jc w:val="left"/>
            </w:pPr>
            <w:r>
              <w:rPr>
                <w:rFonts w:ascii="Arial" w:hAnsi="Arial" w:cs="Arial"/>
                <w:b/>
                <w:color w:val="FFFFFF"/>
                <w:sz w:val="17"/>
                <w:szCs w:val="17"/>
              </w:rPr>
              <w:t xml:space="preserve">I.  EQUITY AND LIABILITIES</w:t>
            </w:r>
          </w:p>
        </w:tc>
        <w:tc>
          <w:tcPr>
            <w:tcW w:w="1923" w:type="dxa"/>
            <w:tcBorders>
              <w:bottom w:val="single" w:sz="2" w:space="0" w:color="E3E7EC"/>
            </w:tcBorders>
            <w:shd w:val="clear" w:color="auto" w:fill="1B4B8A"/>
          </w:tcPr>
          <w:p>
            <w:pPr>
              <w:spacing w:before="0" w:after="0" w:line="250" w:lineRule="auto"/>
              <w:jc w:val="right"/>
            </w:pPr>
          </w:p>
        </w:tc>
        <w:tc>
          <w:tcPr>
            <w:tcW w:w="1923" w:type="dxa"/>
            <w:tcBorders>
              <w:bottom w:val="single" w:sz="2" w:space="0" w:color="E3E7EC"/>
            </w:tcBorders>
            <w:shd w:val="clear" w:color="auto" w:fill="1B4B8A"/>
          </w:tcPr>
          <w:p>
            <w:pPr>
              <w:spacing w:before="0" w:after="0" w:line="250" w:lineRule="auto"/>
              <w:jc w:val="right"/>
            </w:pPr>
          </w:p>
        </w:tc>
        <w:tc>
          <w:tcPr>
            <w:tcW w:w="1925" w:type="dxa"/>
            <w:tcBorders>
              <w:bottom w:val="single" w:sz="2" w:space="0" w:color="E3E7EC"/>
            </w:tcBorders>
            <w:shd w:val="clear" w:color="auto" w:fill="1B4B8A"/>
          </w:tcPr>
          <w:p>
            <w:pPr>
              <w:spacing w:before="0" w:after="0" w:line="250" w:lineRule="auto"/>
              <w:jc w:val="right"/>
            </w:pP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Share Capital</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10.00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10.00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10.00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Reserves &amp; Surplus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4.85</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14.38</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32.91</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Long-term Borrowings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9.50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8.00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6.50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Short-term Borrowings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3.20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4.10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4.60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Trade Payables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7.40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11.30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15.80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Other Current Liabilities &amp; Provisions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5.05</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7.62</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10.70</w:t>
            </w:r>
          </w:p>
        </w:tc>
      </w:tr>
      <w:tr>
        <w:trPr>
          <w:cantSplit/>
        </w:trPr>
        <w:tc>
          <w:tcPr>
            <w:tcW w:w="3847" w:type="dxa"/>
            <w:tcBorders>
              <w:bottom w:val="single" w:sz="2" w:space="0" w:color="E3E7EC"/>
            </w:tcBorders>
            <w:shd w:val="clear" w:color="auto" w:fill="D8E7F7"/>
          </w:tcPr>
          <w:p>
            <w:pPr>
              <w:spacing w:before="0" w:after="0" w:line="250" w:lineRule="auto"/>
              <w:jc w:val="left"/>
            </w:pPr>
            <w:r>
              <w:rPr>
                <w:rFonts w:ascii="Arial" w:hAnsi="Arial" w:cs="Arial"/>
                <w:b/>
                <w:color w:val="122F5C"/>
                <w:sz w:val="17"/>
                <w:szCs w:val="17"/>
              </w:rPr>
              <w:t xml:space="preserve">Total</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40.00</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55.40</w:t>
            </w:r>
          </w:p>
        </w:tc>
        <w:tc>
          <w:tcPr>
            <w:tcW w:w="1925"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80.51</w:t>
            </w:r>
          </w:p>
        </w:tc>
      </w:tr>
      <w:tr>
        <w:trPr>
          <w:cantSplit/>
        </w:trPr>
        <w:tc>
          <w:tcPr>
            <w:tcW w:w="3847" w:type="dxa"/>
            <w:tcBorders>
              <w:bottom w:val="single" w:sz="2" w:space="0" w:color="E3E7EC"/>
            </w:tcBorders>
            <w:shd w:val="clear" w:color="auto" w:fill="1B4B8A"/>
          </w:tcPr>
          <w:p>
            <w:pPr>
              <w:spacing w:before="0" w:after="0" w:line="250" w:lineRule="auto"/>
              <w:jc w:val="left"/>
            </w:pPr>
            <w:r>
              <w:rPr>
                <w:rFonts w:ascii="Arial" w:hAnsi="Arial" w:cs="Arial"/>
                <w:b/>
                <w:color w:val="FFFFFF"/>
                <w:sz w:val="17"/>
                <w:szCs w:val="17"/>
              </w:rPr>
              <w:t xml:space="preserve">II.  ASSETS</w:t>
            </w:r>
          </w:p>
        </w:tc>
        <w:tc>
          <w:tcPr>
            <w:tcW w:w="1923" w:type="dxa"/>
            <w:tcBorders>
              <w:bottom w:val="single" w:sz="2" w:space="0" w:color="E3E7EC"/>
            </w:tcBorders>
            <w:shd w:val="clear" w:color="auto" w:fill="1B4B8A"/>
          </w:tcPr>
          <w:p>
            <w:pPr>
              <w:spacing w:before="0" w:after="0" w:line="250" w:lineRule="auto"/>
              <w:jc w:val="right"/>
            </w:pPr>
          </w:p>
        </w:tc>
        <w:tc>
          <w:tcPr>
            <w:tcW w:w="1923" w:type="dxa"/>
            <w:tcBorders>
              <w:bottom w:val="single" w:sz="2" w:space="0" w:color="E3E7EC"/>
            </w:tcBorders>
            <w:shd w:val="clear" w:color="auto" w:fill="1B4B8A"/>
          </w:tcPr>
          <w:p>
            <w:pPr>
              <w:spacing w:before="0" w:after="0" w:line="250" w:lineRule="auto"/>
              <w:jc w:val="right"/>
            </w:pPr>
          </w:p>
        </w:tc>
        <w:tc>
          <w:tcPr>
            <w:tcW w:w="1925" w:type="dxa"/>
            <w:tcBorders>
              <w:bottom w:val="single" w:sz="2" w:space="0" w:color="E3E7EC"/>
            </w:tcBorders>
            <w:shd w:val="clear" w:color="auto" w:fill="1B4B8A"/>
          </w:tcPr>
          <w:p>
            <w:pPr>
              <w:spacing w:before="0" w:after="0" w:line="250" w:lineRule="auto"/>
              <w:jc w:val="right"/>
            </w:pP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Property, Plant &amp; Equipment</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8.60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10.40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13.20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Intangible Assets (Platform/Software)</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3.40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4.60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6.80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Non-current Investments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1.00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1.50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2.00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Trade Receivables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11.80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16.90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23.10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Cash &amp; Bank Balances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9.70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14.20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24.61</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Short-term Loans &amp; Advances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2.90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4.10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5.80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Other Current Assets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2.60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3.70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5.00</w:t>
            </w:r>
          </w:p>
        </w:tc>
      </w:tr>
      <w:tr>
        <w:trPr>
          <w:cantSplit/>
        </w:trPr>
        <w:tc>
          <w:tcPr>
            <w:tcW w:w="3847" w:type="dxa"/>
            <w:tcBorders>
              <w:bottom w:val="single" w:sz="2" w:space="0" w:color="E3E7EC"/>
            </w:tcBorders>
            <w:shd w:val="clear" w:color="auto" w:fill="D8E7F7"/>
          </w:tcPr>
          <w:p>
            <w:pPr>
              <w:spacing w:before="0" w:after="0" w:line="250" w:lineRule="auto"/>
              <w:jc w:val="left"/>
            </w:pPr>
            <w:r>
              <w:rPr>
                <w:rFonts w:ascii="Arial" w:hAnsi="Arial" w:cs="Arial"/>
                <w:b/>
                <w:color w:val="122F5C"/>
                <w:sz w:val="17"/>
                <w:szCs w:val="17"/>
              </w:rPr>
              <w:t xml:space="preserve">Total</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40.00</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55.40</w:t>
            </w:r>
          </w:p>
        </w:tc>
        <w:tc>
          <w:tcPr>
            <w:tcW w:w="1925"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80.51</w:t>
            </w:r>
          </w:p>
        </w:tc>
      </w:tr>
    </w:tbl>
    <w:p>
      <w:pPr>
        <w:spacing w:before="0" w:after="0"/>
      </w:pPr>
      <w:r>
        <w:rPr>
          <w:sz w:val="16"/>
        </w:rPr>
        <w:t/>
      </w:r>
    </w:p>
    <w:p>
      <w:pPr>
        <w:spacing w:before="0" w:after="130" w:line="264" w:lineRule="auto"/>
        <w:jc w:val="both"/>
      </w:pPr>
      <w:r>
        <w:rPr>
          <w:rFonts w:ascii="Times New Roman" w:hAnsi="Times New Roman" w:cs="Times New Roman"/>
          <w:color w:val="1A1A1A"/>
          <w:sz w:val="21"/>
          <w:szCs w:val="21"/>
        </w:rPr>
        <w:t xml:space="preserve">The pattern of financing has changed decisively. In FY 2023-24 shareholders' funds of ₹ 14.85 lakh were only marginally larger than total debt of ₹ 12.70 lakh. By FY 2025-26 shareholders' funds had reached ₹ 42.91 lakh against debt of ₹ 11.10 lakh. Almost the whole of the increase in net worth is retained profit rather than fresh capital: share capital has remained unchanged at ₹ 10.00 lakh throughout, while reserves have grown from ₹ 4.85 lakh to ₹ 32.91 lakh.</w:t>
      </w:r>
    </w:p>
    <w:p>
      <w:pPr>
        <w:spacing w:before="80" w:after="80"/>
        <w:jc w:val="center"/>
      </w:pPr>
      <w:r>
        <w:drawing>
          <wp:inline distT="0" distB="0" distL="0" distR="0">
            <wp:extent cx="5308600" cy="3185160"/>
            <wp:docPr id="12" name="Picture 12"/>
            <a:graphic>
              <a:graphicData uri="http://schemas.openxmlformats.org/drawingml/2006/picture">
                <pic:pic>
                  <pic:nvPicPr>
                    <pic:cNvPr id="12" name="fig20_funding.png"/>
                    <pic:cNvPicPr/>
                  </pic:nvPicPr>
                  <pic:blipFill>
                    <a:blip r:embed="rId111"/>
                    <a:stretch>
                      <a:fillRect/>
                    </a:stretch>
                  </pic:blipFill>
                  <pic:spPr>
                    <a:xfrm>
                      <a:off x="0" y="0"/>
                      <a:ext cx="5308600" cy="3185160"/>
                    </a:xfrm>
                    <a:prstGeom prst="rect">
                      <a:avLst/>
                    </a:prstGeom>
                  </pic:spPr>
                </pic:pic>
              </a:graphicData>
            </a:graphic>
          </wp:inline>
        </w:drawing>
      </w:r>
    </w:p>
    <w:p>
      <w:pPr>
        <w:spacing w:before="20" w:after="40"/>
        <w:jc w:val="center"/>
      </w:pPr>
      <w:r>
        <w:rPr>
          <w:rFonts w:ascii="Arial" w:hAnsi="Arial" w:cs="Arial"/>
          <w:b/>
          <w:color w:val="E87A1E"/>
          <w:sz w:val="18"/>
          <w:szCs w:val="18"/>
        </w:rPr>
        <w:t xml:space="preserve">Figure 4.8  </w:t>
      </w:r>
      <w:r>
        <w:rPr>
          <w:rFonts w:ascii="Arial" w:hAnsi="Arial" w:cs="Arial"/>
          <w:color w:val="444A55"/>
          <w:sz w:val="18"/>
          <w:szCs w:val="18"/>
        </w:rPr>
        <w:t xml:space="preserve">Pattern of long-term funding over three years</w:t>
      </w:r>
    </w:p>
    <w:p>
      <w:pPr>
        <w:spacing w:before="0" w:after="180"/>
        <w:jc w:val="center"/>
      </w:pPr>
      <w:r>
        <w:rPr>
          <w:rFonts w:ascii="Times New Roman" w:hAnsi="Times New Roman" w:cs="Times New Roman"/>
          <w:i/>
          <w:color w:val="8A919C"/>
          <w:sz w:val="16"/>
          <w:szCs w:val="16"/>
        </w:rPr>
        <w:t xml:space="preserve">Computed from Table 4.9.</w:t>
      </w:r>
    </w:p>
    <w:p>
      <w:pPr>
        <w:spacing w:before="0" w:after="130" w:line="264" w:lineRule="auto"/>
        <w:jc w:val="both"/>
      </w:pPr>
      <w:r>
        <w:rPr>
          <w:rFonts w:ascii="Times New Roman" w:hAnsi="Times New Roman" w:cs="Times New Roman"/>
          <w:color w:val="1A1A1A"/>
          <w:sz w:val="21"/>
          <w:szCs w:val="21"/>
        </w:rPr>
        <w:t xml:space="preserve">For a young enterprise this is an unusually conservative financing policy, and it carries a cost as well as a benefit. The benefit is resilience: interest cover of 16.44 times and a debt-equity ratio of 0.26 leave the company well placed to absorb a poor season. The cost is foregone growth: with a return on capital employed of 53.23 per cent against a borrowing cost materially below that figure, the company is not exploiting the favourable financial leverage available to it. Section 5.7 quantifies this, and Chapter Nine frames it as a matter for management judgement rather than as a defect.</w:t>
      </w:r>
    </w:p>
    <w:p>
      <w:r>
        <w:br w:type="page"/>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0" w:type="dxa"/>
          <w:left w:w="160" w:type="dxa"/>
          <w:bottom w:w="140" w:type="dxa"/>
          <w:right w:w="120" w:type="dxa"/>
        </w:tblCellMar>
      </w:tblPr>
      <w:tblGrid>
        <w:gridCol w:w="1731"/>
        <w:gridCol w:w="7887"/>
      </w:tblGrid>
      <w:tr>
        <w:trPr>
          <w:cantSplit/>
        </w:trPr>
        <w:tc>
          <w:tcPr>
            <w:tcW w:w="1731" w:type="dxa"/>
            <w:shd w:val="clear" w:color="auto" w:fill="122F5C"/>
            <w:vAlign w:val="center"/>
          </w:tcPr>
          <w:p>
            <w:pPr>
              <w:spacing w:before="0" w:after="20"/>
            </w:pPr>
            <w:r>
              <w:rPr>
                <w:rFonts w:ascii="Arial" w:hAnsi="Arial" w:cs="Arial"/>
                <w:b/>
                <w:color w:val="4F9EE3"/>
                <w:spacing w:val="60"/>
                <w:sz w:val="16"/>
                <w:szCs w:val="16"/>
              </w:rPr>
              <w:t xml:space="preserve">CHAPTER</w:t>
            </w:r>
          </w:p>
          <w:p>
            <w:pPr>
              <w:spacing w:before="0" w:after="0"/>
            </w:pPr>
            <w:r>
              <w:rPr>
                <w:rFonts w:ascii="Arial" w:hAnsi="Arial" w:cs="Arial"/>
                <w:b/>
                <w:color w:val="E87A1E"/>
                <w:sz w:val="62"/>
                <w:szCs w:val="62"/>
              </w:rPr>
              <w:t xml:space="preserve">5</w:t>
            </w:r>
          </w:p>
        </w:tc>
        <w:tc>
          <w:tcPr>
            <w:tcW w:w="7887" w:type="dxa"/>
            <w:shd w:val="clear" w:color="auto" w:fill="122F5C"/>
            <w:vAlign w:val="center"/>
          </w:tcPr>
          <w:p>
            <w:pPr>
              <w:spacing w:before="60" w:after="0"/>
            </w:pPr>
            <w:r>
              <w:rPr>
                <w:rFonts w:ascii="Arial" w:hAnsi="Arial" w:cs="Arial"/>
                <w:b/>
                <w:color w:val="FFFFFF"/>
                <w:sz w:val="38"/>
                <w:szCs w:val="38"/>
              </w:rPr>
              <w:t xml:space="preserve">BUDGETING AND COST CONTROL</w:t>
            </w:r>
          </w:p>
        </w:tc>
      </w:tr>
    </w:tbl>
    <w:p>
      <w:pPr>
        <w:pBdr>
          <w:bottom w:val="single" w:sz="18" w:space="2" w:color="E87A1E"/>
        </w:pBdr>
        <w:spacing w:before="0" w:after="0"/>
      </w:pPr>
    </w:p>
    <w:p>
      <w:pPr>
        <w:spacing w:before="140" w:after="160" w:line="280" w:lineRule="auto"/>
        <w:jc w:val="both"/>
      </w:pPr>
      <w:r>
        <w:rPr>
          <w:rFonts w:ascii="Times New Roman" w:hAnsi="Times New Roman" w:cs="Times New Roman"/>
          <w:i/>
          <w:color w:val="444A55"/>
          <w:sz w:val="21"/>
          <w:szCs w:val="21"/>
        </w:rPr>
        <w:t xml:space="preserve">The budget cycle in operation, a quantified variance analysis, the behaviour of costs, break-even analysis and the leverage the organisation carries.</w:t>
      </w:r>
    </w:p>
    <w:p>
      <w:pPr>
        <w:pBdr>
          <w:left w:val="single" w:sz="14" w:space="8" w:color="4F9EE3"/>
        </w:pBdr>
        <w:spacing w:before="120" w:after="180" w:line="288" w:lineRule="auto"/>
        <w:ind w:left="200" w:right="0" w:firstLine="0"/>
      </w:pPr>
      <w:r>
        <w:rPr>
          <w:rFonts w:ascii="Times New Roman" w:hAnsi="Times New Roman" w:cs="Times New Roman"/>
          <w:i/>
          <w:color w:val="1B4B8A"/>
          <w:sz w:val="24"/>
          <w:szCs w:val="24"/>
        </w:rPr>
        <w:t xml:space="preserve">A budget that is prepared but not monitored is a forecast, not a control. This chapter tests which of the two the organisation actually has.</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5.1  The Budgeting Process in Operation</w:t>
      </w:r>
    </w:p>
    <w:p>
      <w:pPr>
        <w:spacing w:before="0" w:after="130" w:line="264" w:lineRule="auto"/>
        <w:jc w:val="both"/>
      </w:pPr>
      <w:r>
        <w:rPr>
          <w:rFonts w:ascii="Times New Roman" w:hAnsi="Times New Roman" w:cs="Times New Roman"/>
          <w:color w:val="1A1A1A"/>
          <w:sz w:val="21"/>
          <w:szCs w:val="21"/>
        </w:rPr>
        <w:t xml:space="preserve">The organisation prepares an annual budget before the commencement of the financial year. The process observed during the internship runs as follows.</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1.</w:t>
      </w:r>
      <w:r>
        <w:tab/>
      </w:r>
      <w:r>
        <w:rPr>
          <w:rFonts w:ascii="Times New Roman" w:hAnsi="Times New Roman" w:cs="Times New Roman"/>
          <w:b/>
          <w:color w:val="1A1A1A"/>
          <w:sz w:val="21"/>
          <w:szCs w:val="21"/>
        </w:rPr>
        <w:t xml:space="preserve">Revenue projection.</w:t>
      </w:r>
      <w:r>
        <w:rPr>
          <w:rFonts w:ascii="Times New Roman" w:hAnsi="Times New Roman" w:cs="Times New Roman"/>
          <w:color w:val="1A1A1A"/>
          <w:sz w:val="21"/>
          <w:szCs w:val="21"/>
        </w:rPr>
        <w:t xml:space="preserve"> The Admissions and Corporate Relations functions jointly project enrolments by service line, based on the previous year's conversions and the contracts expected to be signed.</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2.</w:t>
      </w:r>
      <w:r>
        <w:tab/>
      </w:r>
      <w:r>
        <w:rPr>
          <w:rFonts w:ascii="Times New Roman" w:hAnsi="Times New Roman" w:cs="Times New Roman"/>
          <w:b/>
          <w:color w:val="1A1A1A"/>
          <w:sz w:val="21"/>
          <w:szCs w:val="21"/>
        </w:rPr>
        <w:t xml:space="preserve">Variable cost estimation.</w:t>
      </w:r>
      <w:r>
        <w:rPr>
          <w:rFonts w:ascii="Times New Roman" w:hAnsi="Times New Roman" w:cs="Times New Roman"/>
          <w:color w:val="1A1A1A"/>
          <w:sz w:val="21"/>
          <w:szCs w:val="21"/>
        </w:rPr>
        <w:t xml:space="preserve"> Programme Delivery estimates mentor honoraria, content and certification cost per intern and applies it to projected enrolment.</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3.</w:t>
      </w:r>
      <w:r>
        <w:tab/>
      </w:r>
      <w:r>
        <w:rPr>
          <w:rFonts w:ascii="Times New Roman" w:hAnsi="Times New Roman" w:cs="Times New Roman"/>
          <w:b/>
          <w:color w:val="1A1A1A"/>
          <w:sz w:val="21"/>
          <w:szCs w:val="21"/>
        </w:rPr>
        <w:t xml:space="preserve">Committed cost estimation.</w:t>
      </w:r>
      <w:r>
        <w:rPr>
          <w:rFonts w:ascii="Times New Roman" w:hAnsi="Times New Roman" w:cs="Times New Roman"/>
          <w:color w:val="1A1A1A"/>
          <w:sz w:val="21"/>
          <w:szCs w:val="21"/>
        </w:rPr>
        <w:t xml:space="preserve"> Finance estimates salaries, incubation charges, platform subscriptions and statutory costs, which are largely known in advance.</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4.</w:t>
      </w:r>
      <w:r>
        <w:tab/>
      </w:r>
      <w:r>
        <w:rPr>
          <w:rFonts w:ascii="Times New Roman" w:hAnsi="Times New Roman" w:cs="Times New Roman"/>
          <w:b/>
          <w:color w:val="1A1A1A"/>
          <w:sz w:val="21"/>
          <w:szCs w:val="21"/>
        </w:rPr>
        <w:t xml:space="preserve">Marketing provision.</w:t>
      </w:r>
      <w:r>
        <w:rPr>
          <w:rFonts w:ascii="Times New Roman" w:hAnsi="Times New Roman" w:cs="Times New Roman"/>
          <w:color w:val="1A1A1A"/>
          <w:sz w:val="21"/>
          <w:szCs w:val="21"/>
        </w:rPr>
        <w:t xml:space="preserve"> A marketing budget is fixed as an approximate percentage of projected revenue — an approach that, as Section 5.3 shows, is the weakest link in the chain.</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5.</w:t>
      </w:r>
      <w:r>
        <w:tab/>
      </w:r>
      <w:r>
        <w:rPr>
          <w:rFonts w:ascii="Times New Roman" w:hAnsi="Times New Roman" w:cs="Times New Roman"/>
          <w:b/>
          <w:color w:val="1A1A1A"/>
          <w:sz w:val="21"/>
          <w:szCs w:val="21"/>
        </w:rPr>
        <w:t xml:space="preserve">Consolidation and approval.</w:t>
      </w:r>
      <w:r>
        <w:rPr>
          <w:rFonts w:ascii="Times New Roman" w:hAnsi="Times New Roman" w:cs="Times New Roman"/>
          <w:color w:val="1A1A1A"/>
          <w:sz w:val="21"/>
          <w:szCs w:val="21"/>
        </w:rPr>
        <w:t xml:space="preserve"> Finance consolidates the heads into a master budget, which management reviews and approves.</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6.</w:t>
      </w:r>
      <w:r>
        <w:tab/>
      </w:r>
      <w:r>
        <w:rPr>
          <w:rFonts w:ascii="Times New Roman" w:hAnsi="Times New Roman" w:cs="Times New Roman"/>
          <w:b/>
          <w:color w:val="1A1A1A"/>
          <w:sz w:val="21"/>
          <w:szCs w:val="21"/>
        </w:rPr>
        <w:t xml:space="preserve">Monitoring.</w:t>
      </w:r>
      <w:r>
        <w:rPr>
          <w:rFonts w:ascii="Times New Roman" w:hAnsi="Times New Roman" w:cs="Times New Roman"/>
          <w:color w:val="1A1A1A"/>
          <w:sz w:val="21"/>
          <w:szCs w:val="21"/>
        </w:rPr>
        <w:t xml:space="preserve"> Revenue and collections are monitored monthly. A full head-wise comparison of budget against actual is, however, prepared only at the year end.</w:t>
      </w:r>
    </w:p>
    <w:tbl>
      <w:tblPr>
        <w:tblW w:w="9618" w:type="dxa"/>
        <w:tblBorders>
          <w:top w:val="single" w:sz="4" w:space="0" w:color="FBE9E7"/>
          <w:left w:val="single" w:sz="24" w:space="0" w:color="C0392B"/>
          <w:bottom w:val="single" w:sz="4" w:space="0" w:color="FBE9E7"/>
          <w:right w:val="single" w:sz="4" w:space="0" w:color="FBE9E7"/>
        </w:tblBorders>
        <w:tblCellMar>
          <w:top w:w="120" w:type="dxa"/>
          <w:left w:w="180" w:type="dxa"/>
          <w:bottom w:w="120" w:type="dxa"/>
          <w:right w:w="160" w:type="dxa"/>
        </w:tblCellMar>
      </w:tblPr>
      <w:tblGrid>
        <w:gridCol w:w="9618"/>
      </w:tblGrid>
      <w:tr>
        <w:tc>
          <w:tcPr>
            <w:tcW w:w="9618" w:type="dxa"/>
            <w:shd w:val="clear" w:color="auto" w:fill="FBE9E7"/>
          </w:tcPr>
          <w:p>
            <w:pPr>
              <w:spacing w:before="0" w:after="60"/>
            </w:pPr>
            <w:r>
              <w:rPr>
                <w:rFonts w:ascii="Arial" w:hAnsi="Arial" w:cs="Arial"/>
                <w:b/>
                <w:color w:val="C0392B"/>
                <w:sz w:val="20"/>
                <w:szCs w:val="20"/>
              </w:rPr>
              <w:t xml:space="preserve">The Central Weakness in the Budgetary Control System</w:t>
            </w:r>
          </w:p>
          <w:p>
            <w:pPr>
              <w:spacing w:before="0" w:after="0" w:line="250" w:lineRule="auto"/>
              <w:jc w:val="both"/>
            </w:pPr>
            <w:r>
              <w:rPr>
                <w:rFonts w:ascii="Times New Roman" w:hAnsi="Times New Roman" w:cs="Times New Roman"/>
                <w:color w:val="1A1A1A"/>
                <w:sz w:val="19"/>
                <w:szCs w:val="19"/>
              </w:rPr>
              <w:t xml:space="preserve">Steps one to five are performed competently. Step six is not. Because the head-wise comparison is annual, an adverse variance cannot be corrected in the year in which it arises — it can only be explained after that year has closed. Budgeting without monthly monitoring is forecasting, and this is the single most consequential finding of the study.</w:t>
            </w:r>
          </w:p>
        </w:tc>
      </w:tr>
    </w:tbl>
    <w:p>
      <w:pPr>
        <w:spacing w:before="0" w:after="0"/>
      </w:pPr>
      <w:r>
        <w:rPr>
          <w:sz w:val="12"/>
        </w:rPr>
        <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5.2  Types of Budget Maintained</w:t>
      </w:r>
    </w:p>
    <w:p>
      <w:pPr>
        <w:keepNext/>
        <w:keepLines/>
        <w:spacing w:before="220" w:after="60"/>
      </w:pPr>
      <w:r>
        <w:rPr>
          <w:rFonts w:ascii="Arial" w:hAnsi="Arial" w:cs="Arial"/>
          <w:b/>
          <w:color w:val="E87A1E"/>
          <w:sz w:val="19"/>
          <w:szCs w:val="19"/>
        </w:rPr>
        <w:t xml:space="preserve">Table 5.1  </w:t>
      </w:r>
      <w:r>
        <w:rPr>
          <w:rFonts w:ascii="Arial" w:hAnsi="Arial" w:cs="Arial"/>
          <w:b/>
          <w:color w:val="122F5C"/>
          <w:sz w:val="19"/>
          <w:szCs w:val="19"/>
        </w:rPr>
        <w:t xml:space="preserve">Budgets prepared and their status</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2500"/>
        <w:gridCol w:w="4039"/>
        <w:gridCol w:w="1538"/>
        <w:gridCol w:w="1541"/>
      </w:tblGrid>
      <w:tr>
        <w:trPr>
          <w:cantSplit/>
          <w:tblHeader/>
        </w:trPr>
        <w:tc>
          <w:tcPr>
            <w:tcW w:w="2500" w:type="dxa"/>
            <w:shd w:val="clear" w:color="auto" w:fill="122F5C"/>
            <w:vAlign w:val="center"/>
          </w:tcPr>
          <w:p>
            <w:pPr>
              <w:spacing w:before="0" w:after="0"/>
              <w:jc w:val="left"/>
            </w:pPr>
            <w:r>
              <w:rPr>
                <w:rFonts w:ascii="Arial" w:hAnsi="Arial" w:cs="Arial"/>
                <w:b/>
                <w:color w:val="FFFFFF"/>
                <w:sz w:val="18"/>
                <w:szCs w:val="18"/>
              </w:rPr>
              <w:t xml:space="preserve">Budget</w:t>
            </w:r>
          </w:p>
        </w:tc>
        <w:tc>
          <w:tcPr>
            <w:tcW w:w="4039" w:type="dxa"/>
            <w:shd w:val="clear" w:color="auto" w:fill="122F5C"/>
            <w:vAlign w:val="center"/>
          </w:tcPr>
          <w:p>
            <w:pPr>
              <w:spacing w:before="0" w:after="0"/>
              <w:jc w:val="left"/>
            </w:pPr>
            <w:r>
              <w:rPr>
                <w:rFonts w:ascii="Arial" w:hAnsi="Arial" w:cs="Arial"/>
                <w:b/>
                <w:color w:val="FFFFFF"/>
                <w:sz w:val="18"/>
                <w:szCs w:val="18"/>
              </w:rPr>
              <w:t xml:space="preserve">Purpose</w:t>
            </w:r>
          </w:p>
        </w:tc>
        <w:tc>
          <w:tcPr>
            <w:tcW w:w="1538" w:type="dxa"/>
            <w:shd w:val="clear" w:color="auto" w:fill="122F5C"/>
            <w:vAlign w:val="center"/>
          </w:tcPr>
          <w:p>
            <w:pPr>
              <w:spacing w:before="0" w:after="0"/>
              <w:jc w:val="center"/>
            </w:pPr>
            <w:r>
              <w:rPr>
                <w:rFonts w:ascii="Arial" w:hAnsi="Arial" w:cs="Arial"/>
                <w:b/>
                <w:color w:val="FFFFFF"/>
                <w:sz w:val="18"/>
                <w:szCs w:val="18"/>
              </w:rPr>
              <w:t xml:space="preserve">Frequency</w:t>
            </w:r>
          </w:p>
        </w:tc>
        <w:tc>
          <w:tcPr>
            <w:tcW w:w="1541" w:type="dxa"/>
            <w:shd w:val="clear" w:color="auto" w:fill="122F5C"/>
            <w:vAlign w:val="center"/>
          </w:tcPr>
          <w:p>
            <w:pPr>
              <w:spacing w:before="0" w:after="0"/>
              <w:jc w:val="center"/>
            </w:pPr>
            <w:r>
              <w:rPr>
                <w:rFonts w:ascii="Arial" w:hAnsi="Arial" w:cs="Arial"/>
                <w:b/>
                <w:color w:val="FFFFFF"/>
                <w:sz w:val="18"/>
                <w:szCs w:val="18"/>
              </w:rPr>
              <w:t xml:space="preserve">Status</w:t>
            </w:r>
          </w:p>
        </w:tc>
      </w:tr>
      <w:tr>
        <w:trPr>
          <w:cantSplit/>
        </w:trPr>
        <w:tc>
          <w:tcPr>
            <w:tcW w:w="250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Revenue budget</w:t>
            </w:r>
          </w:p>
        </w:tc>
        <w:tc>
          <w:tcPr>
            <w:tcW w:w="4039"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Projection of income by service line</w:t>
            </w:r>
          </w:p>
        </w:tc>
        <w:tc>
          <w:tcPr>
            <w:tcW w:w="1538"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Annual</w:t>
            </w:r>
          </w:p>
        </w:tc>
        <w:tc>
          <w:tcPr>
            <w:tcW w:w="1541"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Prepared</w:t>
            </w:r>
          </w:p>
        </w:tc>
      </w:tr>
      <w:tr>
        <w:trPr>
          <w:cantSplit/>
        </w:trPr>
        <w:tc>
          <w:tcPr>
            <w:tcW w:w="250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Programme cost budget</w:t>
            </w:r>
          </w:p>
        </w:tc>
        <w:tc>
          <w:tcPr>
            <w:tcW w:w="4039"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Variable cost of delivery per cohort</w:t>
            </w:r>
          </w:p>
        </w:tc>
        <w:tc>
          <w:tcPr>
            <w:tcW w:w="1538"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Per cohort</w:t>
            </w:r>
          </w:p>
        </w:tc>
        <w:tc>
          <w:tcPr>
            <w:tcW w:w="1541"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Prepared</w:t>
            </w:r>
          </w:p>
        </w:tc>
      </w:tr>
      <w:tr>
        <w:trPr>
          <w:cantSplit/>
        </w:trPr>
        <w:tc>
          <w:tcPr>
            <w:tcW w:w="250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Marketing budget</w:t>
            </w:r>
          </w:p>
        </w:tc>
        <w:tc>
          <w:tcPr>
            <w:tcW w:w="4039"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Provision for promotion and lead generation</w:t>
            </w:r>
          </w:p>
        </w:tc>
        <w:tc>
          <w:tcPr>
            <w:tcW w:w="1538"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Annual</w:t>
            </w:r>
          </w:p>
        </w:tc>
        <w:tc>
          <w:tcPr>
            <w:tcW w:w="1541"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Prepared</w:t>
            </w:r>
          </w:p>
        </w:tc>
      </w:tr>
      <w:tr>
        <w:trPr>
          <w:cantSplit/>
        </w:trPr>
        <w:tc>
          <w:tcPr>
            <w:tcW w:w="250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Overhead budget</w:t>
            </w:r>
          </w:p>
        </w:tc>
        <w:tc>
          <w:tcPr>
            <w:tcW w:w="4039"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Salaries, incubation, platform and administration</w:t>
            </w:r>
          </w:p>
        </w:tc>
        <w:tc>
          <w:tcPr>
            <w:tcW w:w="1538"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Annual</w:t>
            </w:r>
          </w:p>
        </w:tc>
        <w:tc>
          <w:tcPr>
            <w:tcW w:w="1541"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Prepared</w:t>
            </w:r>
          </w:p>
        </w:tc>
      </w:tr>
      <w:tr>
        <w:trPr>
          <w:cantSplit/>
        </w:trPr>
        <w:tc>
          <w:tcPr>
            <w:tcW w:w="250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Capital expenditure budget</w:t>
            </w:r>
          </w:p>
        </w:tc>
        <w:tc>
          <w:tcPr>
            <w:tcW w:w="4039"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Equipment and platform development</w:t>
            </w:r>
          </w:p>
        </w:tc>
        <w:tc>
          <w:tcPr>
            <w:tcW w:w="1538"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Annual</w:t>
            </w:r>
          </w:p>
        </w:tc>
        <w:tc>
          <w:tcPr>
            <w:tcW w:w="1541"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Prepared</w:t>
            </w:r>
          </w:p>
        </w:tc>
      </w:tr>
      <w:tr>
        <w:trPr>
          <w:cantSplit/>
        </w:trPr>
        <w:tc>
          <w:tcPr>
            <w:tcW w:w="250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Cash budget</w:t>
            </w:r>
          </w:p>
        </w:tc>
        <w:tc>
          <w:tcPr>
            <w:tcW w:w="4039"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Month-wise projection of receipts and payments</w:t>
            </w:r>
          </w:p>
        </w:tc>
        <w:tc>
          <w:tcPr>
            <w:tcW w:w="1538"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Monthly</w:t>
            </w:r>
          </w:p>
        </w:tc>
        <w:tc>
          <w:tcPr>
            <w:tcW w:w="1541"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Not prepared</w:t>
            </w:r>
          </w:p>
        </w:tc>
      </w:tr>
      <w:tr>
        <w:trPr>
          <w:cantSplit/>
        </w:trPr>
        <w:tc>
          <w:tcPr>
            <w:tcW w:w="250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Flexible budget</w:t>
            </w:r>
          </w:p>
        </w:tc>
        <w:tc>
          <w:tcPr>
            <w:tcW w:w="4039"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Cost allowance restated to actual activity</w:t>
            </w:r>
          </w:p>
        </w:tc>
        <w:tc>
          <w:tcPr>
            <w:tcW w:w="1538"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w:t>
            </w:r>
          </w:p>
        </w:tc>
        <w:tc>
          <w:tcPr>
            <w:tcW w:w="1541"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Not prepared</w:t>
            </w:r>
          </w:p>
        </w:tc>
      </w:tr>
      <w:tr>
        <w:trPr>
          <w:cantSplit/>
        </w:trPr>
        <w:tc>
          <w:tcPr>
            <w:tcW w:w="250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Master budget</w:t>
            </w:r>
          </w:p>
        </w:tc>
        <w:tc>
          <w:tcPr>
            <w:tcW w:w="4039"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Consolidated budgeted profit statement</w:t>
            </w:r>
          </w:p>
        </w:tc>
        <w:tc>
          <w:tcPr>
            <w:tcW w:w="1538"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Annual</w:t>
            </w:r>
          </w:p>
        </w:tc>
        <w:tc>
          <w:tcPr>
            <w:tcW w:w="1541"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Prepared</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The two budgets not prepared are precisely the two that a seasonal business most needs, and both are recommended in Chapter Nine.</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5.3  Budget against Actual: Variance Analysis</w:t>
      </w:r>
    </w:p>
    <w:p>
      <w:pPr>
        <w:spacing w:before="0" w:after="130" w:line="264" w:lineRule="auto"/>
        <w:jc w:val="both"/>
      </w:pPr>
      <w:r>
        <w:rPr>
          <w:rFonts w:ascii="Times New Roman" w:hAnsi="Times New Roman" w:cs="Times New Roman"/>
          <w:color w:val="1A1A1A"/>
          <w:sz w:val="21"/>
          <w:szCs w:val="21"/>
        </w:rPr>
        <w:t xml:space="preserve">The table below compares the approved budget for FY 2025-26 with the actual outcome. Variances are signed so that a favourable outcome is always positive: for revenue, an excess over budget is favourable; for a cost head, a saving against budget is favourable.</w:t>
      </w:r>
    </w:p>
    <w:p>
      <w:pPr>
        <w:keepNext/>
        <w:keepLines/>
        <w:spacing w:before="220" w:after="60"/>
      </w:pPr>
      <w:r>
        <w:rPr>
          <w:rFonts w:ascii="Arial" w:hAnsi="Arial" w:cs="Arial"/>
          <w:b/>
          <w:color w:val="E87A1E"/>
          <w:sz w:val="19"/>
          <w:szCs w:val="19"/>
        </w:rPr>
        <w:t xml:space="preserve">Table 5.2  </w:t>
      </w:r>
      <w:r>
        <w:rPr>
          <w:rFonts w:ascii="Arial" w:hAnsi="Arial" w:cs="Arial"/>
          <w:b/>
          <w:color w:val="122F5C"/>
          <w:sz w:val="19"/>
          <w:szCs w:val="19"/>
        </w:rPr>
        <w:t xml:space="preserve">Budget against actual for FY 2025-26 (₹ in lakh)</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2885"/>
        <w:gridCol w:w="1250"/>
        <w:gridCol w:w="1250"/>
        <w:gridCol w:w="1346"/>
        <w:gridCol w:w="1346"/>
        <w:gridCol w:w="1541"/>
      </w:tblGrid>
      <w:tr>
        <w:trPr>
          <w:cantSplit/>
          <w:tblHeader/>
        </w:trPr>
        <w:tc>
          <w:tcPr>
            <w:tcW w:w="2885" w:type="dxa"/>
            <w:shd w:val="clear" w:color="auto" w:fill="122F5C"/>
            <w:vAlign w:val="center"/>
          </w:tcPr>
          <w:p>
            <w:pPr>
              <w:spacing w:before="0" w:after="0"/>
              <w:jc w:val="left"/>
            </w:pPr>
            <w:r>
              <w:rPr>
                <w:rFonts w:ascii="Arial" w:hAnsi="Arial" w:cs="Arial"/>
                <w:b/>
                <w:color w:val="FFFFFF"/>
                <w:sz w:val="16"/>
                <w:szCs w:val="16"/>
              </w:rPr>
              <w:t xml:space="preserve">Head</w:t>
            </w:r>
          </w:p>
        </w:tc>
        <w:tc>
          <w:tcPr>
            <w:tcW w:w="1250" w:type="dxa"/>
            <w:shd w:val="clear" w:color="auto" w:fill="122F5C"/>
            <w:vAlign w:val="center"/>
          </w:tcPr>
          <w:p>
            <w:pPr>
              <w:spacing w:before="0" w:after="0"/>
              <w:jc w:val="right"/>
            </w:pPr>
            <w:r>
              <w:rPr>
                <w:rFonts w:ascii="Arial" w:hAnsi="Arial" w:cs="Arial"/>
                <w:b/>
                <w:color w:val="FFFFFF"/>
                <w:sz w:val="16"/>
                <w:szCs w:val="16"/>
              </w:rPr>
              <w:t xml:space="preserve">Budget</w:t>
            </w:r>
          </w:p>
        </w:tc>
        <w:tc>
          <w:tcPr>
            <w:tcW w:w="1250" w:type="dxa"/>
            <w:shd w:val="clear" w:color="auto" w:fill="122F5C"/>
            <w:vAlign w:val="center"/>
          </w:tcPr>
          <w:p>
            <w:pPr>
              <w:spacing w:before="0" w:after="0"/>
              <w:jc w:val="right"/>
            </w:pPr>
            <w:r>
              <w:rPr>
                <w:rFonts w:ascii="Arial" w:hAnsi="Arial" w:cs="Arial"/>
                <w:b/>
                <w:color w:val="FFFFFF"/>
                <w:sz w:val="16"/>
                <w:szCs w:val="16"/>
              </w:rPr>
              <w:t xml:space="preserve">Actual</w:t>
            </w:r>
          </w:p>
        </w:tc>
        <w:tc>
          <w:tcPr>
            <w:tcW w:w="1346" w:type="dxa"/>
            <w:shd w:val="clear" w:color="auto" w:fill="122F5C"/>
            <w:vAlign w:val="center"/>
          </w:tcPr>
          <w:p>
            <w:pPr>
              <w:spacing w:before="0" w:after="0"/>
              <w:jc w:val="right"/>
            </w:pPr>
            <w:r>
              <w:rPr>
                <w:rFonts w:ascii="Arial" w:hAnsi="Arial" w:cs="Arial"/>
                <w:b/>
                <w:color w:val="FFFFFF"/>
                <w:sz w:val="16"/>
                <w:szCs w:val="16"/>
              </w:rPr>
              <w:t xml:space="preserve">Variance</w:t>
            </w:r>
          </w:p>
        </w:tc>
        <w:tc>
          <w:tcPr>
            <w:tcW w:w="1346" w:type="dxa"/>
            <w:shd w:val="clear" w:color="auto" w:fill="122F5C"/>
            <w:vAlign w:val="center"/>
          </w:tcPr>
          <w:p>
            <w:pPr>
              <w:spacing w:before="0" w:after="0"/>
              <w:jc w:val="right"/>
            </w:pPr>
            <w:r>
              <w:rPr>
                <w:rFonts w:ascii="Arial" w:hAnsi="Arial" w:cs="Arial"/>
                <w:b/>
                <w:color w:val="FFFFFF"/>
                <w:sz w:val="16"/>
                <w:szCs w:val="16"/>
              </w:rPr>
              <w:t xml:space="preserve">Variance %</w:t>
            </w:r>
          </w:p>
        </w:tc>
        <w:tc>
          <w:tcPr>
            <w:tcW w:w="1541" w:type="dxa"/>
            <w:shd w:val="clear" w:color="auto" w:fill="122F5C"/>
            <w:vAlign w:val="center"/>
          </w:tcPr>
          <w:p>
            <w:pPr>
              <w:spacing w:before="0" w:after="0"/>
              <w:jc w:val="center"/>
            </w:pPr>
            <w:r>
              <w:rPr>
                <w:rFonts w:ascii="Arial" w:hAnsi="Arial" w:cs="Arial"/>
                <w:b/>
                <w:color w:val="FFFFFF"/>
                <w:sz w:val="16"/>
                <w:szCs w:val="16"/>
              </w:rPr>
              <w:t xml:space="preserve">Nature</w:t>
            </w:r>
          </w:p>
        </w:tc>
      </w:tr>
      <w:tr>
        <w:trPr>
          <w:cantSplit/>
        </w:trPr>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Revenue from Operations</w:t>
            </w:r>
          </w:p>
        </w:tc>
        <w:tc>
          <w:tcPr>
            <w:tcW w:w="1250"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205.00</w:t>
            </w:r>
          </w:p>
        </w:tc>
        <w:tc>
          <w:tcPr>
            <w:tcW w:w="1250"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214.60</w:t>
            </w:r>
          </w:p>
        </w:tc>
        <w:tc>
          <w:tcPr>
            <w:tcW w:w="1346"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+9.60</w:t>
            </w:r>
          </w:p>
        </w:tc>
        <w:tc>
          <w:tcPr>
            <w:tcW w:w="1346"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+4.68</w:t>
            </w:r>
          </w:p>
        </w:tc>
        <w:tc>
          <w:tcPr>
            <w:tcW w:w="1541"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Favourable</w:t>
            </w:r>
          </w:p>
        </w:tc>
      </w:tr>
      <w:tr>
        <w:trPr>
          <w:cantSplit/>
        </w:trPr>
        <w:tc>
          <w:tcPr>
            <w:tcW w:w="288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Other Income</w:t>
            </w:r>
          </w:p>
        </w:tc>
        <w:tc>
          <w:tcPr>
            <w:tcW w:w="1250"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3.00</w:t>
            </w:r>
          </w:p>
        </w:tc>
        <w:tc>
          <w:tcPr>
            <w:tcW w:w="1250"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3.40</w:t>
            </w:r>
          </w:p>
        </w:tc>
        <w:tc>
          <w:tcPr>
            <w:tcW w:w="1346"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+0.40</w:t>
            </w:r>
          </w:p>
        </w:tc>
        <w:tc>
          <w:tcPr>
            <w:tcW w:w="1346"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+13.33</w:t>
            </w:r>
          </w:p>
        </w:tc>
        <w:tc>
          <w:tcPr>
            <w:tcW w:w="1541"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Favourable</w:t>
            </w:r>
          </w:p>
        </w:tc>
      </w:tr>
      <w:tr>
        <w:trPr>
          <w:cantSplit/>
        </w:trPr>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Direct Programme Cost</w:t>
            </w:r>
          </w:p>
        </w:tc>
        <w:tc>
          <w:tcPr>
            <w:tcW w:w="1250"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76.00</w:t>
            </w:r>
          </w:p>
        </w:tc>
        <w:tc>
          <w:tcPr>
            <w:tcW w:w="1250"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79.30</w:t>
            </w:r>
          </w:p>
        </w:tc>
        <w:tc>
          <w:tcPr>
            <w:tcW w:w="1346"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 3.30</w:t>
            </w:r>
          </w:p>
        </w:tc>
        <w:tc>
          <w:tcPr>
            <w:tcW w:w="1346"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 4.34</w:t>
            </w:r>
          </w:p>
        </w:tc>
        <w:tc>
          <w:tcPr>
            <w:tcW w:w="1541"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Adverse</w:t>
            </w:r>
          </w:p>
        </w:tc>
      </w:tr>
      <w:tr>
        <w:trPr>
          <w:cantSplit/>
        </w:trPr>
        <w:tc>
          <w:tcPr>
            <w:tcW w:w="288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Employee Benefit Expenses</w:t>
            </w:r>
          </w:p>
        </w:tc>
        <w:tc>
          <w:tcPr>
            <w:tcW w:w="1250"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54.00</w:t>
            </w:r>
          </w:p>
        </w:tc>
        <w:tc>
          <w:tcPr>
            <w:tcW w:w="1250"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52.80</w:t>
            </w:r>
          </w:p>
        </w:tc>
        <w:tc>
          <w:tcPr>
            <w:tcW w:w="1346"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+1.20</w:t>
            </w:r>
          </w:p>
        </w:tc>
        <w:tc>
          <w:tcPr>
            <w:tcW w:w="1346"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+2.22</w:t>
            </w:r>
          </w:p>
        </w:tc>
        <w:tc>
          <w:tcPr>
            <w:tcW w:w="1541"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Favourable</w:t>
            </w:r>
          </w:p>
        </w:tc>
      </w:tr>
      <w:tr>
        <w:trPr>
          <w:cantSplit/>
        </w:trPr>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Marketing &amp; Digital Promotion</w:t>
            </w:r>
          </w:p>
        </w:tc>
        <w:tc>
          <w:tcPr>
            <w:tcW w:w="1250"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30.00</w:t>
            </w:r>
          </w:p>
        </w:tc>
        <w:tc>
          <w:tcPr>
            <w:tcW w:w="1250"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33.10</w:t>
            </w:r>
          </w:p>
        </w:tc>
        <w:tc>
          <w:tcPr>
            <w:tcW w:w="1346"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 3.10</w:t>
            </w:r>
          </w:p>
        </w:tc>
        <w:tc>
          <w:tcPr>
            <w:tcW w:w="1346"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 10.33</w:t>
            </w:r>
          </w:p>
        </w:tc>
        <w:tc>
          <w:tcPr>
            <w:tcW w:w="1541"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Adverse</w:t>
            </w:r>
          </w:p>
        </w:tc>
      </w:tr>
      <w:tr>
        <w:trPr>
          <w:cantSplit/>
        </w:trPr>
        <w:tc>
          <w:tcPr>
            <w:tcW w:w="288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Administrative &amp; Office Expenses</w:t>
            </w:r>
          </w:p>
        </w:tc>
        <w:tc>
          <w:tcPr>
            <w:tcW w:w="1250"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14.50</w:t>
            </w:r>
          </w:p>
        </w:tc>
        <w:tc>
          <w:tcPr>
            <w:tcW w:w="1250"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13.60</w:t>
            </w:r>
          </w:p>
        </w:tc>
        <w:tc>
          <w:tcPr>
            <w:tcW w:w="1346"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+0.90</w:t>
            </w:r>
          </w:p>
        </w:tc>
        <w:tc>
          <w:tcPr>
            <w:tcW w:w="1346"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+6.21</w:t>
            </w:r>
          </w:p>
        </w:tc>
        <w:tc>
          <w:tcPr>
            <w:tcW w:w="1541"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Favourable</w:t>
            </w:r>
          </w:p>
        </w:tc>
      </w:tr>
      <w:tr>
        <w:trPr>
          <w:cantSplit/>
        </w:trPr>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Technology &amp; Platform Expenses</w:t>
            </w:r>
          </w:p>
        </w:tc>
        <w:tc>
          <w:tcPr>
            <w:tcW w:w="1250"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9.00</w:t>
            </w:r>
          </w:p>
        </w:tc>
        <w:tc>
          <w:tcPr>
            <w:tcW w:w="1250"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9.40</w:t>
            </w:r>
          </w:p>
        </w:tc>
        <w:tc>
          <w:tcPr>
            <w:tcW w:w="1346"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 0.40</w:t>
            </w:r>
          </w:p>
        </w:tc>
        <w:tc>
          <w:tcPr>
            <w:tcW w:w="1346"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 4.44</w:t>
            </w:r>
          </w:p>
        </w:tc>
        <w:tc>
          <w:tcPr>
            <w:tcW w:w="1541"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Adverse</w:t>
            </w:r>
          </w:p>
        </w:tc>
      </w:tr>
      <w:tr>
        <w:trPr>
          <w:cantSplit/>
        </w:trPr>
        <w:tc>
          <w:tcPr>
            <w:tcW w:w="288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Finance Cost</w:t>
            </w:r>
          </w:p>
        </w:tc>
        <w:tc>
          <w:tcPr>
            <w:tcW w:w="1250"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1.80</w:t>
            </w:r>
          </w:p>
        </w:tc>
        <w:tc>
          <w:tcPr>
            <w:tcW w:w="1250"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1.60</w:t>
            </w:r>
          </w:p>
        </w:tc>
        <w:tc>
          <w:tcPr>
            <w:tcW w:w="1346"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+0.20</w:t>
            </w:r>
          </w:p>
        </w:tc>
        <w:tc>
          <w:tcPr>
            <w:tcW w:w="1346"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+11.11</w:t>
            </w:r>
          </w:p>
        </w:tc>
        <w:tc>
          <w:tcPr>
            <w:tcW w:w="1541"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Favourable</w:t>
            </w:r>
          </w:p>
        </w:tc>
      </w:tr>
      <w:tr>
        <w:trPr>
          <w:cantSplit/>
        </w:trPr>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Depreciation &amp; Amortisation</w:t>
            </w:r>
          </w:p>
        </w:tc>
        <w:tc>
          <w:tcPr>
            <w:tcW w:w="1250"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3.50</w:t>
            </w:r>
          </w:p>
        </w:tc>
        <w:tc>
          <w:tcPr>
            <w:tcW w:w="1250"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3.50</w:t>
            </w:r>
          </w:p>
        </w:tc>
        <w:tc>
          <w:tcPr>
            <w:tcW w:w="1346"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+0.00</w:t>
            </w:r>
          </w:p>
        </w:tc>
        <w:tc>
          <w:tcPr>
            <w:tcW w:w="1346"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+0.00</w:t>
            </w:r>
          </w:p>
        </w:tc>
        <w:tc>
          <w:tcPr>
            <w:tcW w:w="1541"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Favourable</w:t>
            </w:r>
          </w:p>
        </w:tc>
      </w:tr>
      <w:tr>
        <w:trPr>
          <w:cantSplit/>
        </w:trPr>
        <w:tc>
          <w:tcPr>
            <w:tcW w:w="2885" w:type="dxa"/>
            <w:tcBorders>
              <w:bottom w:val="single" w:sz="2" w:space="0" w:color="E3E7EC"/>
            </w:tcBorders>
            <w:shd w:val="clear" w:color="auto" w:fill="D8E7F7"/>
          </w:tcPr>
          <w:p>
            <w:pPr>
              <w:spacing w:before="0" w:after="0" w:line="250" w:lineRule="auto"/>
              <w:jc w:val="left"/>
            </w:pPr>
            <w:r>
              <w:rPr>
                <w:rFonts w:ascii="Arial" w:hAnsi="Arial" w:cs="Arial"/>
                <w:b/>
                <w:color w:val="122F5C"/>
                <w:sz w:val="16"/>
                <w:szCs w:val="16"/>
              </w:rPr>
              <w:t xml:space="preserve">Total Income</w:t>
            </w:r>
          </w:p>
        </w:tc>
        <w:tc>
          <w:tcPr>
            <w:tcW w:w="1250" w:type="dxa"/>
            <w:tcBorders>
              <w:bottom w:val="single" w:sz="2" w:space="0" w:color="E3E7EC"/>
            </w:tcBorders>
            <w:shd w:val="clear" w:color="auto" w:fill="D8E7F7"/>
          </w:tcPr>
          <w:p>
            <w:pPr>
              <w:spacing w:before="0" w:after="0" w:line="250" w:lineRule="auto"/>
              <w:jc w:val="right"/>
            </w:pPr>
            <w:r>
              <w:rPr>
                <w:rFonts w:ascii="Arial" w:hAnsi="Arial" w:cs="Arial"/>
                <w:b/>
                <w:color w:val="122F5C"/>
                <w:sz w:val="16"/>
                <w:szCs w:val="16"/>
              </w:rPr>
              <w:t xml:space="preserve">208.00</w:t>
            </w:r>
          </w:p>
        </w:tc>
        <w:tc>
          <w:tcPr>
            <w:tcW w:w="1250" w:type="dxa"/>
            <w:tcBorders>
              <w:bottom w:val="single" w:sz="2" w:space="0" w:color="E3E7EC"/>
            </w:tcBorders>
            <w:shd w:val="clear" w:color="auto" w:fill="D8E7F7"/>
          </w:tcPr>
          <w:p>
            <w:pPr>
              <w:spacing w:before="0" w:after="0" w:line="250" w:lineRule="auto"/>
              <w:jc w:val="right"/>
            </w:pPr>
            <w:r>
              <w:rPr>
                <w:rFonts w:ascii="Arial" w:hAnsi="Arial" w:cs="Arial"/>
                <w:b/>
                <w:color w:val="122F5C"/>
                <w:sz w:val="16"/>
                <w:szCs w:val="16"/>
              </w:rPr>
              <w:t xml:space="preserve">218.00</w:t>
            </w:r>
          </w:p>
        </w:tc>
        <w:tc>
          <w:tcPr>
            <w:tcW w:w="1346" w:type="dxa"/>
            <w:tcBorders>
              <w:bottom w:val="single" w:sz="2" w:space="0" w:color="E3E7EC"/>
            </w:tcBorders>
            <w:shd w:val="clear" w:color="auto" w:fill="D8E7F7"/>
          </w:tcPr>
          <w:p>
            <w:pPr>
              <w:spacing w:before="0" w:after="0" w:line="250" w:lineRule="auto"/>
              <w:jc w:val="right"/>
            </w:pPr>
            <w:r>
              <w:rPr>
                <w:rFonts w:ascii="Arial" w:hAnsi="Arial" w:cs="Arial"/>
                <w:b/>
                <w:color w:val="122F5C"/>
                <w:sz w:val="16"/>
                <w:szCs w:val="16"/>
              </w:rPr>
              <w:t xml:space="preserve">+10.00</w:t>
            </w:r>
          </w:p>
        </w:tc>
        <w:tc>
          <w:tcPr>
            <w:tcW w:w="1346" w:type="dxa"/>
            <w:tcBorders>
              <w:bottom w:val="single" w:sz="2" w:space="0" w:color="E3E7EC"/>
            </w:tcBorders>
            <w:shd w:val="clear" w:color="auto" w:fill="D8E7F7"/>
          </w:tcPr>
          <w:p>
            <w:pPr>
              <w:spacing w:before="0" w:after="0" w:line="250" w:lineRule="auto"/>
              <w:jc w:val="right"/>
            </w:pPr>
            <w:r>
              <w:rPr>
                <w:rFonts w:ascii="Arial" w:hAnsi="Arial" w:cs="Arial"/>
                <w:b/>
                <w:color w:val="122F5C"/>
                <w:sz w:val="16"/>
                <w:szCs w:val="16"/>
              </w:rPr>
              <w:t xml:space="preserve">+4.81</w:t>
            </w:r>
          </w:p>
        </w:tc>
        <w:tc>
          <w:tcPr>
            <w:tcW w:w="1541" w:type="dxa"/>
            <w:tcBorders>
              <w:bottom w:val="single" w:sz="2" w:space="0" w:color="E3E7EC"/>
            </w:tcBorders>
            <w:shd w:val="clear" w:color="auto" w:fill="D8E7F7"/>
          </w:tcPr>
          <w:p>
            <w:pPr>
              <w:spacing w:before="0" w:after="0" w:line="250" w:lineRule="auto"/>
              <w:jc w:val="center"/>
            </w:pPr>
            <w:r>
              <w:rPr>
                <w:rFonts w:ascii="Arial" w:hAnsi="Arial" w:cs="Arial"/>
                <w:b/>
                <w:color w:val="122F5C"/>
                <w:sz w:val="16"/>
                <w:szCs w:val="16"/>
              </w:rPr>
              <w:t xml:space="preserve">Favourable</w:t>
            </w:r>
          </w:p>
        </w:tc>
      </w:tr>
      <w:tr>
        <w:trPr>
          <w:cantSplit/>
        </w:trPr>
        <w:tc>
          <w:tcPr>
            <w:tcW w:w="2885" w:type="dxa"/>
            <w:tcBorders>
              <w:bottom w:val="single" w:sz="2" w:space="0" w:color="E3E7EC"/>
            </w:tcBorders>
            <w:shd w:val="clear" w:color="auto" w:fill="D8E7F7"/>
          </w:tcPr>
          <w:p>
            <w:pPr>
              <w:spacing w:before="0" w:after="0" w:line="250" w:lineRule="auto"/>
              <w:jc w:val="left"/>
            </w:pPr>
            <w:r>
              <w:rPr>
                <w:rFonts w:ascii="Arial" w:hAnsi="Arial" w:cs="Arial"/>
                <w:b/>
                <w:color w:val="122F5C"/>
                <w:sz w:val="16"/>
                <w:szCs w:val="16"/>
              </w:rPr>
              <w:t xml:space="preserve">Total Expenditure</w:t>
            </w:r>
          </w:p>
        </w:tc>
        <w:tc>
          <w:tcPr>
            <w:tcW w:w="1250" w:type="dxa"/>
            <w:tcBorders>
              <w:bottom w:val="single" w:sz="2" w:space="0" w:color="E3E7EC"/>
            </w:tcBorders>
            <w:shd w:val="clear" w:color="auto" w:fill="D8E7F7"/>
          </w:tcPr>
          <w:p>
            <w:pPr>
              <w:spacing w:before="0" w:after="0" w:line="250" w:lineRule="auto"/>
              <w:jc w:val="right"/>
            </w:pPr>
            <w:r>
              <w:rPr>
                <w:rFonts w:ascii="Arial" w:hAnsi="Arial" w:cs="Arial"/>
                <w:b/>
                <w:color w:val="122F5C"/>
                <w:sz w:val="16"/>
                <w:szCs w:val="16"/>
              </w:rPr>
              <w:t xml:space="preserve">188.80</w:t>
            </w:r>
          </w:p>
        </w:tc>
        <w:tc>
          <w:tcPr>
            <w:tcW w:w="1250" w:type="dxa"/>
            <w:tcBorders>
              <w:bottom w:val="single" w:sz="2" w:space="0" w:color="E3E7EC"/>
            </w:tcBorders>
            <w:shd w:val="clear" w:color="auto" w:fill="D8E7F7"/>
          </w:tcPr>
          <w:p>
            <w:pPr>
              <w:spacing w:before="0" w:after="0" w:line="250" w:lineRule="auto"/>
              <w:jc w:val="right"/>
            </w:pPr>
            <w:r>
              <w:rPr>
                <w:rFonts w:ascii="Arial" w:hAnsi="Arial" w:cs="Arial"/>
                <w:b/>
                <w:color w:val="122F5C"/>
                <w:sz w:val="16"/>
                <w:szCs w:val="16"/>
              </w:rPr>
              <w:t xml:space="preserve">193.30</w:t>
            </w:r>
          </w:p>
        </w:tc>
        <w:tc>
          <w:tcPr>
            <w:tcW w:w="1346" w:type="dxa"/>
            <w:tcBorders>
              <w:bottom w:val="single" w:sz="2" w:space="0" w:color="E3E7EC"/>
            </w:tcBorders>
            <w:shd w:val="clear" w:color="auto" w:fill="D8E7F7"/>
          </w:tcPr>
          <w:p>
            <w:pPr>
              <w:spacing w:before="0" w:after="0" w:line="250" w:lineRule="auto"/>
              <w:jc w:val="right"/>
            </w:pPr>
            <w:r>
              <w:rPr>
                <w:rFonts w:ascii="Arial" w:hAnsi="Arial" w:cs="Arial"/>
                <w:b/>
                <w:color w:val="122F5C"/>
                <w:sz w:val="16"/>
                <w:szCs w:val="16"/>
              </w:rPr>
              <w:t xml:space="preserve">— 4.50</w:t>
            </w:r>
          </w:p>
        </w:tc>
        <w:tc>
          <w:tcPr>
            <w:tcW w:w="1346" w:type="dxa"/>
            <w:tcBorders>
              <w:bottom w:val="single" w:sz="2" w:space="0" w:color="E3E7EC"/>
            </w:tcBorders>
            <w:shd w:val="clear" w:color="auto" w:fill="D8E7F7"/>
          </w:tcPr>
          <w:p>
            <w:pPr>
              <w:spacing w:before="0" w:after="0" w:line="250" w:lineRule="auto"/>
              <w:jc w:val="right"/>
            </w:pPr>
            <w:r>
              <w:rPr>
                <w:rFonts w:ascii="Arial" w:hAnsi="Arial" w:cs="Arial"/>
                <w:b/>
                <w:color w:val="122F5C"/>
                <w:sz w:val="16"/>
                <w:szCs w:val="16"/>
              </w:rPr>
              <w:t xml:space="preserve">— 2.38</w:t>
            </w:r>
          </w:p>
        </w:tc>
        <w:tc>
          <w:tcPr>
            <w:tcW w:w="1541" w:type="dxa"/>
            <w:tcBorders>
              <w:bottom w:val="single" w:sz="2" w:space="0" w:color="E3E7EC"/>
            </w:tcBorders>
            <w:shd w:val="clear" w:color="auto" w:fill="D8E7F7"/>
          </w:tcPr>
          <w:p>
            <w:pPr>
              <w:spacing w:before="0" w:after="0" w:line="250" w:lineRule="auto"/>
              <w:jc w:val="center"/>
            </w:pPr>
            <w:r>
              <w:rPr>
                <w:rFonts w:ascii="Arial" w:hAnsi="Arial" w:cs="Arial"/>
                <w:b/>
                <w:color w:val="122F5C"/>
                <w:sz w:val="16"/>
                <w:szCs w:val="16"/>
              </w:rPr>
              <w:t xml:space="preserve">Adverse</w:t>
            </w:r>
          </w:p>
        </w:tc>
      </w:tr>
      <w:tr>
        <w:trPr>
          <w:cantSplit/>
        </w:trPr>
        <w:tc>
          <w:tcPr>
            <w:tcW w:w="2885" w:type="dxa"/>
            <w:tcBorders>
              <w:bottom w:val="single" w:sz="2" w:space="0" w:color="E3E7EC"/>
            </w:tcBorders>
            <w:shd w:val="clear" w:color="auto" w:fill="D8E7F7"/>
          </w:tcPr>
          <w:p>
            <w:pPr>
              <w:spacing w:before="0" w:after="0" w:line="250" w:lineRule="auto"/>
              <w:jc w:val="left"/>
            </w:pPr>
            <w:r>
              <w:rPr>
                <w:rFonts w:ascii="Arial" w:hAnsi="Arial" w:cs="Arial"/>
                <w:b/>
                <w:color w:val="122F5C"/>
                <w:sz w:val="16"/>
                <w:szCs w:val="16"/>
              </w:rPr>
              <w:t xml:space="preserve">Profit Before Tax</w:t>
            </w:r>
          </w:p>
        </w:tc>
        <w:tc>
          <w:tcPr>
            <w:tcW w:w="1250" w:type="dxa"/>
            <w:tcBorders>
              <w:bottom w:val="single" w:sz="2" w:space="0" w:color="E3E7EC"/>
            </w:tcBorders>
            <w:shd w:val="clear" w:color="auto" w:fill="D8E7F7"/>
          </w:tcPr>
          <w:p>
            <w:pPr>
              <w:spacing w:before="0" w:after="0" w:line="250" w:lineRule="auto"/>
              <w:jc w:val="right"/>
            </w:pPr>
            <w:r>
              <w:rPr>
                <w:rFonts w:ascii="Arial" w:hAnsi="Arial" w:cs="Arial"/>
                <w:b/>
                <w:color w:val="122F5C"/>
                <w:sz w:val="16"/>
                <w:szCs w:val="16"/>
              </w:rPr>
              <w:t xml:space="preserve">19.20</w:t>
            </w:r>
          </w:p>
        </w:tc>
        <w:tc>
          <w:tcPr>
            <w:tcW w:w="1250" w:type="dxa"/>
            <w:tcBorders>
              <w:bottom w:val="single" w:sz="2" w:space="0" w:color="E3E7EC"/>
            </w:tcBorders>
            <w:shd w:val="clear" w:color="auto" w:fill="D8E7F7"/>
          </w:tcPr>
          <w:p>
            <w:pPr>
              <w:spacing w:before="0" w:after="0" w:line="250" w:lineRule="auto"/>
              <w:jc w:val="right"/>
            </w:pPr>
            <w:r>
              <w:rPr>
                <w:rFonts w:ascii="Arial" w:hAnsi="Arial" w:cs="Arial"/>
                <w:b/>
                <w:color w:val="122F5C"/>
                <w:sz w:val="16"/>
                <w:szCs w:val="16"/>
              </w:rPr>
              <w:t xml:space="preserve">24.70</w:t>
            </w:r>
          </w:p>
        </w:tc>
        <w:tc>
          <w:tcPr>
            <w:tcW w:w="1346" w:type="dxa"/>
            <w:tcBorders>
              <w:bottom w:val="single" w:sz="2" w:space="0" w:color="E3E7EC"/>
            </w:tcBorders>
            <w:shd w:val="clear" w:color="auto" w:fill="D8E7F7"/>
          </w:tcPr>
          <w:p>
            <w:pPr>
              <w:spacing w:before="0" w:after="0" w:line="250" w:lineRule="auto"/>
              <w:jc w:val="right"/>
            </w:pPr>
            <w:r>
              <w:rPr>
                <w:rFonts w:ascii="Arial" w:hAnsi="Arial" w:cs="Arial"/>
                <w:b/>
                <w:color w:val="122F5C"/>
                <w:sz w:val="16"/>
                <w:szCs w:val="16"/>
              </w:rPr>
              <w:t xml:space="preserve">+5.50</w:t>
            </w:r>
          </w:p>
        </w:tc>
        <w:tc>
          <w:tcPr>
            <w:tcW w:w="1346" w:type="dxa"/>
            <w:tcBorders>
              <w:bottom w:val="single" w:sz="2" w:space="0" w:color="E3E7EC"/>
            </w:tcBorders>
            <w:shd w:val="clear" w:color="auto" w:fill="D8E7F7"/>
          </w:tcPr>
          <w:p>
            <w:pPr>
              <w:spacing w:before="0" w:after="0" w:line="250" w:lineRule="auto"/>
              <w:jc w:val="right"/>
            </w:pPr>
            <w:r>
              <w:rPr>
                <w:rFonts w:ascii="Arial" w:hAnsi="Arial" w:cs="Arial"/>
                <w:b/>
                <w:color w:val="122F5C"/>
                <w:sz w:val="16"/>
                <w:szCs w:val="16"/>
              </w:rPr>
              <w:t xml:space="preserve">+28.65</w:t>
            </w:r>
          </w:p>
        </w:tc>
        <w:tc>
          <w:tcPr>
            <w:tcW w:w="1541" w:type="dxa"/>
            <w:tcBorders>
              <w:bottom w:val="single" w:sz="2" w:space="0" w:color="E3E7EC"/>
            </w:tcBorders>
            <w:shd w:val="clear" w:color="auto" w:fill="D8E7F7"/>
          </w:tcPr>
          <w:p>
            <w:pPr>
              <w:spacing w:before="0" w:after="0" w:line="250" w:lineRule="auto"/>
              <w:jc w:val="center"/>
            </w:pPr>
            <w:r>
              <w:rPr>
                <w:rFonts w:ascii="Arial" w:hAnsi="Arial" w:cs="Arial"/>
                <w:b/>
                <w:color w:val="122F5C"/>
                <w:sz w:val="16"/>
                <w:szCs w:val="16"/>
              </w:rPr>
              <w:t xml:space="preserve">Favourable</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Variance percentages are computed on the budgeted figure. Depreciation was exactly on budget.</w:t>
      </w:r>
    </w:p>
    <w:p>
      <w:pPr>
        <w:spacing w:before="80" w:after="80"/>
        <w:jc w:val="center"/>
      </w:pPr>
      <w:r>
        <w:drawing>
          <wp:inline distT="0" distB="0" distL="0" distR="0">
            <wp:extent cx="5308600" cy="3185160"/>
            <wp:docPr id="13" name="Picture 13"/>
            <a:graphic>
              <a:graphicData uri="http://schemas.openxmlformats.org/drawingml/2006/picture">
                <pic:pic>
                  <pic:nvPicPr>
                    <pic:cNvPr id="13" name="fig07_budget_variance.png"/>
                    <pic:cNvPicPr/>
                  </pic:nvPicPr>
                  <pic:blipFill>
                    <a:blip r:embed="rId112"/>
                    <a:stretch>
                      <a:fillRect/>
                    </a:stretch>
                  </pic:blipFill>
                  <pic:spPr>
                    <a:xfrm>
                      <a:off x="0" y="0"/>
                      <a:ext cx="5308600" cy="3185160"/>
                    </a:xfrm>
                    <a:prstGeom prst="rect">
                      <a:avLst/>
                    </a:prstGeom>
                  </pic:spPr>
                </pic:pic>
              </a:graphicData>
            </a:graphic>
          </wp:inline>
        </w:drawing>
      </w:r>
    </w:p>
    <w:p>
      <w:pPr>
        <w:spacing w:before="20" w:after="40"/>
        <w:jc w:val="center"/>
      </w:pPr>
      <w:r>
        <w:rPr>
          <w:rFonts w:ascii="Arial" w:hAnsi="Arial" w:cs="Arial"/>
          <w:b/>
          <w:color w:val="E87A1E"/>
          <w:sz w:val="18"/>
          <w:szCs w:val="18"/>
        </w:rPr>
        <w:t xml:space="preserve">Figure 5.1  </w:t>
      </w:r>
      <w:r>
        <w:rPr>
          <w:rFonts w:ascii="Arial" w:hAnsi="Arial" w:cs="Arial"/>
          <w:color w:val="444A55"/>
          <w:sz w:val="18"/>
          <w:szCs w:val="18"/>
        </w:rPr>
        <w:t xml:space="preserve">Budget against actual: percentage variance by head, FY 2025-26</w:t>
      </w:r>
    </w:p>
    <w:p>
      <w:pPr>
        <w:spacing w:before="0" w:after="180"/>
        <w:jc w:val="center"/>
      </w:pPr>
      <w:r>
        <w:rPr>
          <w:rFonts w:ascii="Times New Roman" w:hAnsi="Times New Roman" w:cs="Times New Roman"/>
          <w:i/>
          <w:color w:val="8A919C"/>
          <w:sz w:val="16"/>
          <w:szCs w:val="16"/>
        </w:rPr>
        <w:t xml:space="preserve">Computed from Table 5.2.</w:t>
      </w:r>
    </w:p>
    <w:p>
      <w:pPr>
        <w:keepNext/>
        <w:keepLines/>
        <w:spacing w:before="200" w:after="80"/>
      </w:pPr>
      <w:r>
        <w:rPr>
          <w:rFonts w:ascii="Arial" w:hAnsi="Arial" w:cs="Arial"/>
          <w:b/>
          <w:color w:val="1B4B8A"/>
          <w:sz w:val="21"/>
          <w:szCs w:val="21"/>
        </w:rPr>
        <w:t xml:space="preserve">5.3.1  Interpretation of the Principal Variances</w:t>
      </w:r>
    </w:p>
    <w:p>
      <w:pPr>
        <w:keepNext/>
        <w:keepLines/>
        <w:pBdr>
          <w:left w:val="single" w:sz="8" w:space="6" w:color="C8CED6"/>
        </w:pBdr>
        <w:spacing w:before="140" w:after="40"/>
        <w:ind w:left="200" w:right="0" w:firstLine="0"/>
      </w:pPr>
      <w:r>
        <w:rPr>
          <w:rFonts w:ascii="Arial" w:hAnsi="Arial" w:cs="Arial"/>
          <w:b/>
          <w:color w:val="1B4B8A"/>
          <w:sz w:val="19"/>
          <w:szCs w:val="19"/>
        </w:rPr>
        <w:t xml:space="preserve">Revenue — favourable 4.68 per cent</w:t>
      </w:r>
    </w:p>
    <w:p>
      <w:pPr>
        <w:spacing w:before="0" w:after="120" w:line="264" w:lineRule="auto"/>
        <w:ind w:left="200" w:right="0" w:firstLine="0"/>
        <w:jc w:val="both"/>
      </w:pPr>
      <w:r>
        <w:rPr>
          <w:rFonts w:ascii="Times New Roman" w:hAnsi="Times New Roman" w:cs="Times New Roman"/>
          <w:color w:val="1A1A1A"/>
          <w:sz w:val="21"/>
          <w:szCs w:val="21"/>
        </w:rPr>
        <w:t xml:space="preserve">Actual revenue of ₹ 214.60 lakh exceeded the budget of ₹ 205.00 lakh. Enquiry to enrolment conversion improved and two institutional contracts were signed ahead of schedule. This is a genuinely favourable outcome, but it also masked the cost overruns below, which is precisely the danger of reviewing only the bottom line.</w:t>
      </w:r>
    </w:p>
    <w:p>
      <w:pPr>
        <w:keepNext/>
        <w:keepLines/>
        <w:pBdr>
          <w:left w:val="single" w:sz="8" w:space="6" w:color="C8CED6"/>
        </w:pBdr>
        <w:spacing w:before="140" w:after="40"/>
        <w:ind w:left="200" w:right="0" w:firstLine="0"/>
      </w:pPr>
      <w:r>
        <w:rPr>
          <w:rFonts w:ascii="Arial" w:hAnsi="Arial" w:cs="Arial"/>
          <w:b/>
          <w:color w:val="1B4B8A"/>
          <w:sz w:val="19"/>
          <w:szCs w:val="19"/>
        </w:rPr>
        <w:t xml:space="preserve">Marketing — adverse 10.33 per cent</w:t>
      </w:r>
    </w:p>
    <w:p>
      <w:pPr>
        <w:spacing w:before="0" w:after="120" w:line="264" w:lineRule="auto"/>
        <w:ind w:left="200" w:right="0" w:firstLine="0"/>
        <w:jc w:val="both"/>
      </w:pPr>
      <w:r>
        <w:rPr>
          <w:rFonts w:ascii="Times New Roman" w:hAnsi="Times New Roman" w:cs="Times New Roman"/>
          <w:color w:val="1A1A1A"/>
          <w:sz w:val="21"/>
          <w:szCs w:val="21"/>
        </w:rPr>
        <w:t xml:space="preserve">The largest adverse variance in percentage terms. Spend of ₹ 33.10 lakh against a provision of ₹ 30.00 lakh. Management attributed the excess to competitive bidding on digital advertising during the peak season. Because the budget was set as a percentage of projected revenue rather than on a cost-per-enrolment basis, there was no mechanism to determine whether the additional ₹ 3.10 lakh bought proportionate enrolment. It may have been money well spent; the system cannot tell.</w:t>
      </w:r>
    </w:p>
    <w:p>
      <w:pPr>
        <w:keepNext/>
        <w:keepLines/>
        <w:pBdr>
          <w:left w:val="single" w:sz="8" w:space="6" w:color="C8CED6"/>
        </w:pBdr>
        <w:spacing w:before="140" w:after="40"/>
        <w:ind w:left="200" w:right="0" w:firstLine="0"/>
      </w:pPr>
      <w:r>
        <w:rPr>
          <w:rFonts w:ascii="Arial" w:hAnsi="Arial" w:cs="Arial"/>
          <w:b/>
          <w:color w:val="1B4B8A"/>
          <w:sz w:val="19"/>
          <w:szCs w:val="19"/>
        </w:rPr>
        <w:t xml:space="preserve">Direct Programme Cost — adverse 4.34 per cent</w:t>
      </w:r>
    </w:p>
    <w:p>
      <w:pPr>
        <w:spacing w:before="0" w:after="120" w:line="264" w:lineRule="auto"/>
        <w:ind w:left="200" w:right="0" w:firstLine="0"/>
        <w:jc w:val="both"/>
      </w:pPr>
      <w:r>
        <w:rPr>
          <w:rFonts w:ascii="Times New Roman" w:hAnsi="Times New Roman" w:cs="Times New Roman"/>
          <w:color w:val="1A1A1A"/>
          <w:sz w:val="21"/>
          <w:szCs w:val="21"/>
        </w:rPr>
        <w:t xml:space="preserve">Spend of ₹ 79.30 lakh against ₹ 76.00 lakh. This variance is largely a consequence of the favourable revenue variance: more interns were enrolled than budgeted, and a variable cost must rise with volume. Judged against a flexible budget restated to actual enrolment, most of this variance would disappear, which is exactly why Section 5.8 recommends flexible budgeting.</w:t>
      </w:r>
    </w:p>
    <w:p>
      <w:pPr>
        <w:keepNext/>
        <w:keepLines/>
        <w:pBdr>
          <w:left w:val="single" w:sz="8" w:space="6" w:color="C8CED6"/>
        </w:pBdr>
        <w:spacing w:before="140" w:after="40"/>
        <w:ind w:left="200" w:right="0" w:firstLine="0"/>
      </w:pPr>
      <w:r>
        <w:rPr>
          <w:rFonts w:ascii="Arial" w:hAnsi="Arial" w:cs="Arial"/>
          <w:b/>
          <w:color w:val="1B4B8A"/>
          <w:sz w:val="19"/>
          <w:szCs w:val="19"/>
        </w:rPr>
        <w:t xml:space="preserve">Employee Benefits — favourable 2.22 per cent</w:t>
      </w:r>
    </w:p>
    <w:p>
      <w:pPr>
        <w:spacing w:before="0" w:after="120" w:line="264" w:lineRule="auto"/>
        <w:ind w:left="200" w:right="0" w:firstLine="0"/>
        <w:jc w:val="both"/>
      </w:pPr>
      <w:r>
        <w:rPr>
          <w:rFonts w:ascii="Times New Roman" w:hAnsi="Times New Roman" w:cs="Times New Roman"/>
          <w:color w:val="1A1A1A"/>
          <w:sz w:val="21"/>
          <w:szCs w:val="21"/>
        </w:rPr>
        <w:t xml:space="preserve">Spend of ₹ 52.80 lakh against ₹ 54.00 lakh, because two budgeted positions were filled later in the year than planned. This is a timing saving rather than an efficiency gain and should not be expected to recur.</w:t>
      </w:r>
    </w:p>
    <w:p>
      <w:pPr>
        <w:keepNext/>
        <w:keepLines/>
        <w:pBdr>
          <w:left w:val="single" w:sz="8" w:space="6" w:color="C8CED6"/>
        </w:pBdr>
        <w:spacing w:before="140" w:after="40"/>
        <w:ind w:left="200" w:right="0" w:firstLine="0"/>
      </w:pPr>
      <w:r>
        <w:rPr>
          <w:rFonts w:ascii="Arial" w:hAnsi="Arial" w:cs="Arial"/>
          <w:b/>
          <w:color w:val="1B4B8A"/>
          <w:sz w:val="19"/>
          <w:szCs w:val="19"/>
        </w:rPr>
        <w:t xml:space="preserve">Administration — favourable 6.21 per cent</w:t>
      </w:r>
    </w:p>
    <w:p>
      <w:pPr>
        <w:spacing w:before="0" w:after="120" w:line="264" w:lineRule="auto"/>
        <w:ind w:left="200" w:right="0" w:firstLine="0"/>
        <w:jc w:val="both"/>
      </w:pPr>
      <w:r>
        <w:rPr>
          <w:rFonts w:ascii="Times New Roman" w:hAnsi="Times New Roman" w:cs="Times New Roman"/>
          <w:color w:val="1A1A1A"/>
          <w:sz w:val="21"/>
          <w:szCs w:val="21"/>
        </w:rPr>
        <w:t xml:space="preserve">Spend of ₹ 13.60 lakh against ₹ 14.50 lakh, reflecting continued containment of occupancy cost through the incubation arrangement and a shift of printed material to digital delivery.</w:t>
      </w:r>
    </w:p>
    <w:p>
      <w:pPr>
        <w:keepNext/>
        <w:keepLines/>
        <w:pBdr>
          <w:left w:val="single" w:sz="8" w:space="6" w:color="C8CED6"/>
        </w:pBdr>
        <w:spacing w:before="140" w:after="40"/>
        <w:ind w:left="200" w:right="0" w:firstLine="0"/>
      </w:pPr>
      <w:r>
        <w:rPr>
          <w:rFonts w:ascii="Arial" w:hAnsi="Arial" w:cs="Arial"/>
          <w:b/>
          <w:color w:val="1B4B8A"/>
          <w:sz w:val="19"/>
          <w:szCs w:val="19"/>
        </w:rPr>
        <w:t xml:space="preserve">Finance Cost — favourable 11.11 per cent</w:t>
      </w:r>
    </w:p>
    <w:p>
      <w:pPr>
        <w:spacing w:before="0" w:after="120" w:line="264" w:lineRule="auto"/>
        <w:ind w:left="200" w:right="0" w:firstLine="0"/>
        <w:jc w:val="both"/>
      </w:pPr>
      <w:r>
        <w:rPr>
          <w:rFonts w:ascii="Times New Roman" w:hAnsi="Times New Roman" w:cs="Times New Roman"/>
          <w:color w:val="1A1A1A"/>
          <w:sz w:val="21"/>
          <w:szCs w:val="21"/>
        </w:rPr>
        <w:t xml:space="preserve">Spend of ₹ 1.60 lakh against ₹ 1.80 lakh, because scheduled repayment of term debt reduced the average outstanding balance faster than the budget assumed.</w:t>
      </w:r>
    </w:p>
    <w:p>
      <w:pPr>
        <w:spacing w:before="80" w:after="80"/>
        <w:jc w:val="center"/>
      </w:pPr>
      <w:r>
        <w:drawing>
          <wp:inline distT="0" distB="0" distL="0" distR="0">
            <wp:extent cx="5308600" cy="3185160"/>
            <wp:docPr id="14" name="Picture 14"/>
            <a:graphic>
              <a:graphicData uri="http://schemas.openxmlformats.org/drawingml/2006/picture">
                <pic:pic>
                  <pic:nvPicPr>
                    <pic:cNvPr id="14" name="fig08_budget_amounts.png"/>
                    <pic:cNvPicPr/>
                  </pic:nvPicPr>
                  <pic:blipFill>
                    <a:blip r:embed="rId113"/>
                    <a:stretch>
                      <a:fillRect/>
                    </a:stretch>
                  </pic:blipFill>
                  <pic:spPr>
                    <a:xfrm>
                      <a:off x="0" y="0"/>
                      <a:ext cx="5308600" cy="3185160"/>
                    </a:xfrm>
                    <a:prstGeom prst="rect">
                      <a:avLst/>
                    </a:prstGeom>
                  </pic:spPr>
                </pic:pic>
              </a:graphicData>
            </a:graphic>
          </wp:inline>
        </w:drawing>
      </w:r>
    </w:p>
    <w:p>
      <w:pPr>
        <w:spacing w:before="20" w:after="40"/>
        <w:jc w:val="center"/>
      </w:pPr>
      <w:r>
        <w:rPr>
          <w:rFonts w:ascii="Arial" w:hAnsi="Arial" w:cs="Arial"/>
          <w:b/>
          <w:color w:val="E87A1E"/>
          <w:sz w:val="18"/>
          <w:szCs w:val="18"/>
        </w:rPr>
        <w:t xml:space="preserve">Figure 5.2  </w:t>
      </w:r>
      <w:r>
        <w:rPr>
          <w:rFonts w:ascii="Arial" w:hAnsi="Arial" w:cs="Arial"/>
          <w:color w:val="444A55"/>
          <w:sz w:val="18"/>
          <w:szCs w:val="18"/>
        </w:rPr>
        <w:t xml:space="preserve">Budgeted and actual amounts by head, FY 2025-26</w:t>
      </w:r>
    </w:p>
    <w:p>
      <w:pPr>
        <w:spacing w:before="0" w:after="180"/>
        <w:jc w:val="center"/>
      </w:pPr>
      <w:r>
        <w:rPr>
          <w:rFonts w:ascii="Times New Roman" w:hAnsi="Times New Roman" w:cs="Times New Roman"/>
          <w:i/>
          <w:color w:val="8A919C"/>
          <w:sz w:val="16"/>
          <w:szCs w:val="16"/>
        </w:rPr>
        <w:t xml:space="preserve">Computed from Table 5.2.</w:t>
      </w:r>
    </w:p>
    <w:p>
      <w:pPr>
        <w:spacing w:before="0" w:after="130" w:line="264" w:lineRule="auto"/>
        <w:jc w:val="both"/>
      </w:pPr>
      <w:r>
        <w:rPr>
          <w:rFonts w:ascii="Times New Roman" w:hAnsi="Times New Roman" w:cs="Times New Roman"/>
          <w:color w:val="1A1A1A"/>
          <w:sz w:val="21"/>
          <w:szCs w:val="21"/>
        </w:rPr>
        <w:t xml:space="preserve">Read as a whole, Table 5.2 tells a story that the profit figure alone conceals. Profit before tax exceeded budget by 28.65 per cent, which on its face is an excellent result. But the favourable outcome was produced by revenue exceeding target, while three cost heads simultaneously exceeded theirs. Had revenue merely met budget, the cost overruns of ₹ 6.80 lakh would have reduced profit before tax by roughly a third. Good fortune on the top line is not a substitute for control on the cost lines.</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5.4  Cost Classification and Behaviour</w:t>
      </w:r>
    </w:p>
    <w:p>
      <w:pPr>
        <w:spacing w:before="0" w:after="130" w:line="264" w:lineRule="auto"/>
        <w:jc w:val="both"/>
      </w:pPr>
      <w:r>
        <w:rPr>
          <w:rFonts w:ascii="Times New Roman" w:hAnsi="Times New Roman" w:cs="Times New Roman"/>
          <w:color w:val="1A1A1A"/>
          <w:sz w:val="21"/>
          <w:szCs w:val="21"/>
        </w:rPr>
        <w:t xml:space="preserve">Cost control begins with cost classification, because only a cost whose behaviour is understood can be controlled. Each expense head was examined and allocated between its variable and fixed components on the basis of observed behaviour and discussion with management.</w:t>
      </w:r>
    </w:p>
    <w:p>
      <w:pPr>
        <w:keepNext/>
        <w:keepLines/>
        <w:spacing w:before="220" w:after="60"/>
      </w:pPr>
      <w:r>
        <w:rPr>
          <w:rFonts w:ascii="Arial" w:hAnsi="Arial" w:cs="Arial"/>
          <w:b/>
          <w:color w:val="E87A1E"/>
          <w:sz w:val="19"/>
          <w:szCs w:val="19"/>
        </w:rPr>
        <w:t xml:space="preserve">Table 5.3  </w:t>
      </w:r>
      <w:r>
        <w:rPr>
          <w:rFonts w:ascii="Arial" w:hAnsi="Arial" w:cs="Arial"/>
          <w:b/>
          <w:color w:val="122F5C"/>
          <w:sz w:val="19"/>
          <w:szCs w:val="19"/>
        </w:rPr>
        <w:t xml:space="preserve">Classification of costs by behaviour</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2500"/>
        <w:gridCol w:w="1731"/>
        <w:gridCol w:w="5387"/>
      </w:tblGrid>
      <w:tr>
        <w:trPr>
          <w:cantSplit/>
          <w:tblHeader/>
        </w:trPr>
        <w:tc>
          <w:tcPr>
            <w:tcW w:w="2500" w:type="dxa"/>
            <w:shd w:val="clear" w:color="auto" w:fill="122F5C"/>
            <w:vAlign w:val="center"/>
          </w:tcPr>
          <w:p>
            <w:pPr>
              <w:spacing w:before="0" w:after="0"/>
              <w:jc w:val="left"/>
            </w:pPr>
            <w:r>
              <w:rPr>
                <w:rFonts w:ascii="Arial" w:hAnsi="Arial" w:cs="Arial"/>
                <w:b/>
                <w:color w:val="FFFFFF"/>
                <w:sz w:val="17"/>
                <w:szCs w:val="17"/>
              </w:rPr>
              <w:t xml:space="preserve">Head</w:t>
            </w:r>
          </w:p>
        </w:tc>
        <w:tc>
          <w:tcPr>
            <w:tcW w:w="1731" w:type="dxa"/>
            <w:shd w:val="clear" w:color="auto" w:fill="122F5C"/>
            <w:vAlign w:val="center"/>
          </w:tcPr>
          <w:p>
            <w:pPr>
              <w:spacing w:before="0" w:after="0"/>
              <w:jc w:val="center"/>
            </w:pPr>
            <w:r>
              <w:rPr>
                <w:rFonts w:ascii="Arial" w:hAnsi="Arial" w:cs="Arial"/>
                <w:b/>
                <w:color w:val="FFFFFF"/>
                <w:sz w:val="17"/>
                <w:szCs w:val="17"/>
              </w:rPr>
              <w:t xml:space="preserve">Behaviour</w:t>
            </w:r>
          </w:p>
        </w:tc>
        <w:tc>
          <w:tcPr>
            <w:tcW w:w="5387" w:type="dxa"/>
            <w:shd w:val="clear" w:color="auto" w:fill="122F5C"/>
            <w:vAlign w:val="center"/>
          </w:tcPr>
          <w:p>
            <w:pPr>
              <w:spacing w:before="0" w:after="0"/>
              <w:jc w:val="left"/>
            </w:pPr>
            <w:r>
              <w:rPr>
                <w:rFonts w:ascii="Arial" w:hAnsi="Arial" w:cs="Arial"/>
                <w:b/>
                <w:color w:val="FFFFFF"/>
                <w:sz w:val="17"/>
                <w:szCs w:val="17"/>
              </w:rPr>
              <w:t xml:space="preserve">Basis of classification</w:t>
            </w:r>
          </w:p>
        </w:tc>
      </w:tr>
      <w:tr>
        <w:trPr>
          <w:cantSplit/>
        </w:trPr>
        <w:tc>
          <w:tcPr>
            <w:tcW w:w="250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Direct Programme Cost</w:t>
            </w:r>
          </w:p>
        </w:tc>
        <w:tc>
          <w:tcPr>
            <w:tcW w:w="1731"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Wholly variable</w:t>
            </w:r>
          </w:p>
        </w:tc>
        <w:tc>
          <w:tcPr>
            <w:tcW w:w="538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Mentor honoraria, assessment and certification are incurred per intern enrolled and cease if a cohort is not run</w:t>
            </w:r>
          </w:p>
        </w:tc>
      </w:tr>
      <w:tr>
        <w:trPr>
          <w:cantSplit/>
        </w:trPr>
        <w:tc>
          <w:tcPr>
            <w:tcW w:w="250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Employee Benefit Expenses</w:t>
            </w:r>
          </w:p>
        </w:tc>
        <w:tc>
          <w:tcPr>
            <w:tcW w:w="1731"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7"/>
                <w:szCs w:val="17"/>
              </w:rPr>
              <w:t xml:space="preserve">Wholly fixed</w:t>
            </w:r>
          </w:p>
        </w:tc>
        <w:tc>
          <w:tcPr>
            <w:tcW w:w="538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Core salaried team engaged irrespective of enrolment in any particular month</w:t>
            </w:r>
          </w:p>
        </w:tc>
      </w:tr>
      <w:tr>
        <w:trPr>
          <w:cantSplit/>
        </w:trPr>
        <w:tc>
          <w:tcPr>
            <w:tcW w:w="250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Marketing &amp; Digital Promotion</w:t>
            </w:r>
          </w:p>
        </w:tc>
        <w:tc>
          <w:tcPr>
            <w:tcW w:w="1731"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Semi-variable</w:t>
            </w:r>
          </w:p>
        </w:tc>
        <w:tc>
          <w:tcPr>
            <w:tcW w:w="538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Performance advertising scales with enrolment; brand and sponsorship spend is committed</w:t>
            </w:r>
          </w:p>
        </w:tc>
      </w:tr>
      <w:tr>
        <w:trPr>
          <w:cantSplit/>
        </w:trPr>
        <w:tc>
          <w:tcPr>
            <w:tcW w:w="250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Administrative &amp; Office Expenses</w:t>
            </w:r>
          </w:p>
        </w:tc>
        <w:tc>
          <w:tcPr>
            <w:tcW w:w="1731"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7"/>
                <w:szCs w:val="17"/>
              </w:rPr>
              <w:t xml:space="preserve">Semi-variable</w:t>
            </w:r>
          </w:p>
        </w:tc>
        <w:tc>
          <w:tcPr>
            <w:tcW w:w="538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Payment gateway charges, courier and printing scale with volume; incubation charges and utilities do not</w:t>
            </w:r>
          </w:p>
        </w:tc>
      </w:tr>
      <w:tr>
        <w:trPr>
          <w:cantSplit/>
        </w:trPr>
        <w:tc>
          <w:tcPr>
            <w:tcW w:w="250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Technology &amp; Platform Expenses</w:t>
            </w:r>
          </w:p>
        </w:tc>
        <w:tc>
          <w:tcPr>
            <w:tcW w:w="1731"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Wholly fixed</w:t>
            </w:r>
          </w:p>
        </w:tc>
        <w:tc>
          <w:tcPr>
            <w:tcW w:w="538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Annual platform and software subscriptions are independent of the number of users within the licensed band</w:t>
            </w:r>
          </w:p>
        </w:tc>
      </w:tr>
      <w:tr>
        <w:trPr>
          <w:cantSplit/>
        </w:trPr>
        <w:tc>
          <w:tcPr>
            <w:tcW w:w="250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Finance Cost</w:t>
            </w:r>
          </w:p>
        </w:tc>
        <w:tc>
          <w:tcPr>
            <w:tcW w:w="1731"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7"/>
                <w:szCs w:val="17"/>
              </w:rPr>
              <w:t xml:space="preserve">Wholly fixed</w:t>
            </w:r>
          </w:p>
        </w:tc>
        <w:tc>
          <w:tcPr>
            <w:tcW w:w="538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Interest on term debt follows the repayment schedule, not activity</w:t>
            </w:r>
          </w:p>
        </w:tc>
      </w:tr>
      <w:tr>
        <w:trPr>
          <w:cantSplit/>
        </w:trPr>
        <w:tc>
          <w:tcPr>
            <w:tcW w:w="250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Depreciation &amp; Amortisation</w:t>
            </w:r>
          </w:p>
        </w:tc>
        <w:tc>
          <w:tcPr>
            <w:tcW w:w="1731"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Wholly fixed</w:t>
            </w:r>
          </w:p>
        </w:tc>
        <w:tc>
          <w:tcPr>
            <w:tcW w:w="538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Charged on a time basis on assets already in use</w:t>
            </w:r>
          </w:p>
        </w:tc>
      </w:tr>
    </w:tbl>
    <w:p>
      <w:pPr>
        <w:spacing w:before="0" w:after="0"/>
      </w:pPr>
      <w:r>
        <w:rPr>
          <w:sz w:val="16"/>
        </w:rPr>
        <w:t/>
      </w:r>
    </w:p>
    <w:p>
      <w:pPr>
        <w:keepNext/>
        <w:keepLines/>
        <w:spacing w:before="220" w:after="60"/>
      </w:pPr>
      <w:r>
        <w:rPr>
          <w:rFonts w:ascii="Arial" w:hAnsi="Arial" w:cs="Arial"/>
          <w:b/>
          <w:color w:val="E87A1E"/>
          <w:sz w:val="19"/>
          <w:szCs w:val="19"/>
        </w:rPr>
        <w:t xml:space="preserve">Table 5.4  </w:t>
      </w:r>
      <w:r>
        <w:rPr>
          <w:rFonts w:ascii="Arial" w:hAnsi="Arial" w:cs="Arial"/>
          <w:b/>
          <w:color w:val="122F5C"/>
          <w:sz w:val="19"/>
          <w:szCs w:val="19"/>
        </w:rPr>
        <w:t xml:space="preserve">Segregation of costs into variable and fixed for FY 2025-26 (₹ in lakh)</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3077"/>
        <w:gridCol w:w="1442"/>
        <w:gridCol w:w="1442"/>
        <w:gridCol w:w="1442"/>
        <w:gridCol w:w="2215"/>
      </w:tblGrid>
      <w:tr>
        <w:trPr>
          <w:cantSplit/>
          <w:tblHeader/>
        </w:trPr>
        <w:tc>
          <w:tcPr>
            <w:tcW w:w="3077" w:type="dxa"/>
            <w:shd w:val="clear" w:color="auto" w:fill="122F5C"/>
            <w:vAlign w:val="center"/>
          </w:tcPr>
          <w:p>
            <w:pPr>
              <w:spacing w:before="0" w:after="0"/>
              <w:jc w:val="left"/>
            </w:pPr>
            <w:r>
              <w:rPr>
                <w:rFonts w:ascii="Arial" w:hAnsi="Arial" w:cs="Arial"/>
                <w:b/>
                <w:color w:val="FFFFFF"/>
                <w:sz w:val="18"/>
                <w:szCs w:val="18"/>
              </w:rPr>
              <w:t xml:space="preserve">Head</w:t>
            </w:r>
          </w:p>
        </w:tc>
        <w:tc>
          <w:tcPr>
            <w:tcW w:w="1442" w:type="dxa"/>
            <w:shd w:val="clear" w:color="auto" w:fill="122F5C"/>
            <w:vAlign w:val="center"/>
          </w:tcPr>
          <w:p>
            <w:pPr>
              <w:spacing w:before="0" w:after="0"/>
              <w:jc w:val="right"/>
            </w:pPr>
            <w:r>
              <w:rPr>
                <w:rFonts w:ascii="Arial" w:hAnsi="Arial" w:cs="Arial"/>
                <w:b/>
                <w:color w:val="FFFFFF"/>
                <w:sz w:val="18"/>
                <w:szCs w:val="18"/>
              </w:rPr>
              <w:t xml:space="preserve">Total</w:t>
            </w:r>
          </w:p>
        </w:tc>
        <w:tc>
          <w:tcPr>
            <w:tcW w:w="1442" w:type="dxa"/>
            <w:shd w:val="clear" w:color="auto" w:fill="122F5C"/>
            <w:vAlign w:val="center"/>
          </w:tcPr>
          <w:p>
            <w:pPr>
              <w:spacing w:before="0" w:after="0"/>
              <w:jc w:val="right"/>
            </w:pPr>
            <w:r>
              <w:rPr>
                <w:rFonts w:ascii="Arial" w:hAnsi="Arial" w:cs="Arial"/>
                <w:b/>
                <w:color w:val="FFFFFF"/>
                <w:sz w:val="18"/>
                <w:szCs w:val="18"/>
              </w:rPr>
              <w:t xml:space="preserve">Variable</w:t>
            </w:r>
          </w:p>
        </w:tc>
        <w:tc>
          <w:tcPr>
            <w:tcW w:w="1442" w:type="dxa"/>
            <w:shd w:val="clear" w:color="auto" w:fill="122F5C"/>
            <w:vAlign w:val="center"/>
          </w:tcPr>
          <w:p>
            <w:pPr>
              <w:spacing w:before="0" w:after="0"/>
              <w:jc w:val="right"/>
            </w:pPr>
            <w:r>
              <w:rPr>
                <w:rFonts w:ascii="Arial" w:hAnsi="Arial" w:cs="Arial"/>
                <w:b/>
                <w:color w:val="FFFFFF"/>
                <w:sz w:val="18"/>
                <w:szCs w:val="18"/>
              </w:rPr>
              <w:t xml:space="preserve">Fixed</w:t>
            </w:r>
          </w:p>
        </w:tc>
        <w:tc>
          <w:tcPr>
            <w:tcW w:w="2215" w:type="dxa"/>
            <w:shd w:val="clear" w:color="auto" w:fill="122F5C"/>
            <w:vAlign w:val="center"/>
          </w:tcPr>
          <w:p>
            <w:pPr>
              <w:spacing w:before="0" w:after="0"/>
              <w:jc w:val="right"/>
            </w:pPr>
            <w:r>
              <w:rPr>
                <w:rFonts w:ascii="Arial" w:hAnsi="Arial" w:cs="Arial"/>
                <w:b/>
                <w:color w:val="FFFFFF"/>
                <w:sz w:val="18"/>
                <w:szCs w:val="18"/>
              </w:rPr>
              <w:t xml:space="preserve">Variable %</w:t>
            </w:r>
          </w:p>
        </w:tc>
      </w:tr>
      <w:tr>
        <w:trPr>
          <w:cantSplit/>
        </w:trPr>
        <w:tc>
          <w:tcPr>
            <w:tcW w:w="307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Direct Programme Cost</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79.30</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79.30</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0.00</w:t>
            </w:r>
          </w:p>
        </w:tc>
        <w:tc>
          <w:tcPr>
            <w:tcW w:w="221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100.00</w:t>
            </w:r>
          </w:p>
        </w:tc>
      </w:tr>
      <w:tr>
        <w:trPr>
          <w:cantSplit/>
        </w:trPr>
        <w:tc>
          <w:tcPr>
            <w:tcW w:w="307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Employee Benefit Expenses</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52.80</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0.00</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52.80</w:t>
            </w:r>
          </w:p>
        </w:tc>
        <w:tc>
          <w:tcPr>
            <w:tcW w:w="221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0.00</w:t>
            </w:r>
          </w:p>
        </w:tc>
      </w:tr>
      <w:tr>
        <w:trPr>
          <w:cantSplit/>
        </w:trPr>
        <w:tc>
          <w:tcPr>
            <w:tcW w:w="307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Marketing &amp; Digital Promotion</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33.10</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18.21</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14.89</w:t>
            </w:r>
          </w:p>
        </w:tc>
        <w:tc>
          <w:tcPr>
            <w:tcW w:w="221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55.02</w:t>
            </w:r>
          </w:p>
        </w:tc>
      </w:tr>
      <w:tr>
        <w:trPr>
          <w:cantSplit/>
        </w:trPr>
        <w:tc>
          <w:tcPr>
            <w:tcW w:w="307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Administrative &amp; Office Expenses</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13.60</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2.40</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11.20</w:t>
            </w:r>
          </w:p>
        </w:tc>
        <w:tc>
          <w:tcPr>
            <w:tcW w:w="221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17.65</w:t>
            </w:r>
          </w:p>
        </w:tc>
      </w:tr>
      <w:tr>
        <w:trPr>
          <w:cantSplit/>
        </w:trPr>
        <w:tc>
          <w:tcPr>
            <w:tcW w:w="307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Technology &amp; Platform Expenses</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9.40</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0.00</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9.40</w:t>
            </w:r>
          </w:p>
        </w:tc>
        <w:tc>
          <w:tcPr>
            <w:tcW w:w="221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0.00</w:t>
            </w:r>
          </w:p>
        </w:tc>
      </w:tr>
      <w:tr>
        <w:trPr>
          <w:cantSplit/>
        </w:trPr>
        <w:tc>
          <w:tcPr>
            <w:tcW w:w="307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Finance Cost</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1.60</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0.00</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1.60</w:t>
            </w:r>
          </w:p>
        </w:tc>
        <w:tc>
          <w:tcPr>
            <w:tcW w:w="221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0.00</w:t>
            </w:r>
          </w:p>
        </w:tc>
      </w:tr>
      <w:tr>
        <w:trPr>
          <w:cantSplit/>
        </w:trPr>
        <w:tc>
          <w:tcPr>
            <w:tcW w:w="307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Depreciation &amp; Amortisation</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3.50</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0.00</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3.50</w:t>
            </w:r>
          </w:p>
        </w:tc>
        <w:tc>
          <w:tcPr>
            <w:tcW w:w="221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0.00</w:t>
            </w:r>
          </w:p>
        </w:tc>
      </w:tr>
      <w:tr>
        <w:trPr>
          <w:cantSplit/>
        </w:trPr>
        <w:tc>
          <w:tcPr>
            <w:tcW w:w="3077"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Total</w:t>
            </w:r>
          </w:p>
        </w:tc>
        <w:tc>
          <w:tcPr>
            <w:tcW w:w="1442"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193.30</w:t>
            </w:r>
          </w:p>
        </w:tc>
        <w:tc>
          <w:tcPr>
            <w:tcW w:w="1442"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99.91</w:t>
            </w:r>
          </w:p>
        </w:tc>
        <w:tc>
          <w:tcPr>
            <w:tcW w:w="1442"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93.39</w:t>
            </w:r>
          </w:p>
        </w:tc>
        <w:tc>
          <w:tcPr>
            <w:tcW w:w="2215"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51.69</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The split of the two semi-variable heads rests on management's assessment of the behaviour of each component and is the principal judgemental input to the break-even analysis that follows.</w:t>
      </w:r>
    </w:p>
    <w:p>
      <w:pPr>
        <w:spacing w:before="80" w:after="80"/>
        <w:jc w:val="center"/>
      </w:pPr>
      <w:r>
        <w:drawing>
          <wp:inline distT="0" distB="0" distL="0" distR="0">
            <wp:extent cx="5308600" cy="3185160"/>
            <wp:docPr id="15" name="Picture 15"/>
            <a:graphic>
              <a:graphicData uri="http://schemas.openxmlformats.org/drawingml/2006/picture">
                <pic:pic>
                  <pic:nvPicPr>
                    <pic:cNvPr id="15" name="fig16_cost_behaviour.png"/>
                    <pic:cNvPicPr/>
                  </pic:nvPicPr>
                  <pic:blipFill>
                    <a:blip r:embed="rId114"/>
                    <a:stretch>
                      <a:fillRect/>
                    </a:stretch>
                  </pic:blipFill>
                  <pic:spPr>
                    <a:xfrm>
                      <a:off x="0" y="0"/>
                      <a:ext cx="5308600" cy="3185160"/>
                    </a:xfrm>
                    <a:prstGeom prst="rect">
                      <a:avLst/>
                    </a:prstGeom>
                  </pic:spPr>
                </pic:pic>
              </a:graphicData>
            </a:graphic>
          </wp:inline>
        </w:drawing>
      </w:r>
    </w:p>
    <w:p>
      <w:pPr>
        <w:spacing w:before="20" w:after="40"/>
        <w:jc w:val="center"/>
      </w:pPr>
      <w:r>
        <w:rPr>
          <w:rFonts w:ascii="Arial" w:hAnsi="Arial" w:cs="Arial"/>
          <w:b/>
          <w:color w:val="E87A1E"/>
          <w:sz w:val="18"/>
          <w:szCs w:val="18"/>
        </w:rPr>
        <w:t xml:space="preserve">Figure 5.3  </w:t>
      </w:r>
      <w:r>
        <w:rPr>
          <w:rFonts w:ascii="Arial" w:hAnsi="Arial" w:cs="Arial"/>
          <w:color w:val="444A55"/>
          <w:sz w:val="18"/>
          <w:szCs w:val="18"/>
        </w:rPr>
        <w:t xml:space="preserve">Segregation of costs into variable and fixed, FY 2025-26</w:t>
      </w:r>
    </w:p>
    <w:p>
      <w:pPr>
        <w:spacing w:before="0" w:after="180"/>
        <w:jc w:val="center"/>
      </w:pPr>
      <w:r>
        <w:rPr>
          <w:rFonts w:ascii="Times New Roman" w:hAnsi="Times New Roman" w:cs="Times New Roman"/>
          <w:i/>
          <w:color w:val="8A919C"/>
          <w:sz w:val="16"/>
          <w:szCs w:val="16"/>
        </w:rPr>
        <w:t xml:space="preserve">Computed from Table 5.4.</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5.5  Cost-Volume-Profit Analysis</w:t>
      </w:r>
    </w:p>
    <w:p>
      <w:pPr>
        <w:spacing w:before="0" w:after="130" w:line="264" w:lineRule="auto"/>
        <w:jc w:val="both"/>
      </w:pPr>
      <w:r>
        <w:rPr>
          <w:rFonts w:ascii="Times New Roman" w:hAnsi="Times New Roman" w:cs="Times New Roman"/>
          <w:color w:val="1A1A1A"/>
          <w:sz w:val="21"/>
          <w:szCs w:val="21"/>
        </w:rPr>
        <w:t xml:space="preserve">With costs segregated, the marginal costing relationships follow directly. Contribution is revenue less variable cost; the profit-volume ratio expresses contribution as a percentage of revenue; break-even sales is the level of revenue at which contribution exactly absorbs fixed cost.</w:t>
      </w:r>
    </w:p>
    <w:p>
      <w:pPr>
        <w:keepNext/>
        <w:keepLines/>
        <w:spacing w:before="220" w:after="60"/>
      </w:pPr>
      <w:r>
        <w:rPr>
          <w:rFonts w:ascii="Arial" w:hAnsi="Arial" w:cs="Arial"/>
          <w:b/>
          <w:color w:val="E87A1E"/>
          <w:sz w:val="19"/>
          <w:szCs w:val="19"/>
        </w:rPr>
        <w:t xml:space="preserve">Table 5.5  </w:t>
      </w:r>
      <w:r>
        <w:rPr>
          <w:rFonts w:ascii="Arial" w:hAnsi="Arial" w:cs="Arial"/>
          <w:b/>
          <w:color w:val="122F5C"/>
          <w:sz w:val="19"/>
          <w:szCs w:val="19"/>
        </w:rPr>
        <w:t xml:space="preserve">Cost-volume-profit computation for FY 2025-26</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5386"/>
        <w:gridCol w:w="2308"/>
        <w:gridCol w:w="1924"/>
      </w:tblGrid>
      <w:tr>
        <w:trPr>
          <w:cantSplit/>
          <w:tblHeader/>
        </w:trPr>
        <w:tc>
          <w:tcPr>
            <w:tcW w:w="5386" w:type="dxa"/>
            <w:shd w:val="clear" w:color="auto" w:fill="122F5C"/>
            <w:vAlign w:val="center"/>
          </w:tcPr>
          <w:p>
            <w:pPr>
              <w:spacing w:before="0" w:after="0"/>
              <w:jc w:val="left"/>
            </w:pPr>
            <w:r>
              <w:rPr>
                <w:rFonts w:ascii="Arial" w:hAnsi="Arial" w:cs="Arial"/>
                <w:b/>
                <w:color w:val="FFFFFF"/>
                <w:sz w:val="18"/>
                <w:szCs w:val="18"/>
              </w:rPr>
              <w:t xml:space="preserve">Particulars</w:t>
            </w:r>
          </w:p>
        </w:tc>
        <w:tc>
          <w:tcPr>
            <w:tcW w:w="2308" w:type="dxa"/>
            <w:shd w:val="clear" w:color="auto" w:fill="122F5C"/>
            <w:vAlign w:val="center"/>
          </w:tcPr>
          <w:p>
            <w:pPr>
              <w:spacing w:before="0" w:after="0"/>
              <w:jc w:val="right"/>
            </w:pPr>
            <w:r>
              <w:rPr>
                <w:rFonts w:ascii="Arial" w:hAnsi="Arial" w:cs="Arial"/>
                <w:b/>
                <w:color w:val="FFFFFF"/>
                <w:sz w:val="18"/>
                <w:szCs w:val="18"/>
              </w:rPr>
              <w:t xml:space="preserve">Amount</w:t>
            </w:r>
          </w:p>
        </w:tc>
        <w:tc>
          <w:tcPr>
            <w:tcW w:w="1924" w:type="dxa"/>
            <w:shd w:val="clear" w:color="auto" w:fill="122F5C"/>
            <w:vAlign w:val="center"/>
          </w:tcPr>
          <w:p>
            <w:pPr>
              <w:spacing w:before="0" w:after="0"/>
              <w:jc w:val="center"/>
            </w:pPr>
            <w:r>
              <w:rPr>
                <w:rFonts w:ascii="Arial" w:hAnsi="Arial" w:cs="Arial"/>
                <w:b/>
                <w:color w:val="FFFFFF"/>
                <w:sz w:val="18"/>
                <w:szCs w:val="18"/>
              </w:rPr>
              <w:t xml:space="preserve">Unit</w:t>
            </w:r>
          </w:p>
        </w:tc>
      </w:tr>
      <w:tr>
        <w:trPr>
          <w:cantSplit/>
        </w:trPr>
        <w:tc>
          <w:tcPr>
            <w:tcW w:w="5386"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Revenue from Operations</w:t>
            </w:r>
          </w:p>
        </w:tc>
        <w:tc>
          <w:tcPr>
            <w:tcW w:w="230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214.60</w:t>
            </w:r>
          </w:p>
        </w:tc>
        <w:tc>
          <w:tcPr>
            <w:tcW w:w="192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 lakh</w:t>
            </w:r>
          </w:p>
        </w:tc>
      </w:tr>
      <w:tr>
        <w:trPr>
          <w:cantSplit/>
        </w:trPr>
        <w:tc>
          <w:tcPr>
            <w:tcW w:w="5386"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Less: Variable Cost</w:t>
            </w:r>
          </w:p>
        </w:tc>
        <w:tc>
          <w:tcPr>
            <w:tcW w:w="230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99.91</w:t>
            </w:r>
          </w:p>
        </w:tc>
        <w:tc>
          <w:tcPr>
            <w:tcW w:w="1924"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 lakh</w:t>
            </w:r>
          </w:p>
        </w:tc>
      </w:tr>
      <w:tr>
        <w:trPr>
          <w:cantSplit/>
        </w:trPr>
        <w:tc>
          <w:tcPr>
            <w:tcW w:w="5386"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Contribution</w:t>
            </w:r>
          </w:p>
        </w:tc>
        <w:tc>
          <w:tcPr>
            <w:tcW w:w="2308"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114.69</w:t>
            </w:r>
          </w:p>
        </w:tc>
        <w:tc>
          <w:tcPr>
            <w:tcW w:w="1924" w:type="dxa"/>
            <w:tcBorders>
              <w:bottom w:val="single" w:sz="2" w:space="0" w:color="E3E7EC"/>
            </w:tcBorders>
            <w:shd w:val="clear" w:color="auto" w:fill="D8E7F7"/>
          </w:tcPr>
          <w:p>
            <w:pPr>
              <w:spacing w:before="0" w:after="0" w:line="250" w:lineRule="auto"/>
              <w:jc w:val="center"/>
            </w:pPr>
            <w:r>
              <w:rPr>
                <w:rFonts w:ascii="Arial" w:hAnsi="Arial" w:cs="Arial"/>
                <w:b/>
                <w:color w:val="122F5C"/>
                <w:sz w:val="18"/>
                <w:szCs w:val="18"/>
              </w:rPr>
              <w:t xml:space="preserve">₹ lakh</w:t>
            </w:r>
          </w:p>
        </w:tc>
      </w:tr>
      <w:tr>
        <w:trPr>
          <w:cantSplit/>
        </w:trPr>
        <w:tc>
          <w:tcPr>
            <w:tcW w:w="5386"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Less: Fixed Cost</w:t>
            </w:r>
          </w:p>
        </w:tc>
        <w:tc>
          <w:tcPr>
            <w:tcW w:w="230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93.39</w:t>
            </w:r>
          </w:p>
        </w:tc>
        <w:tc>
          <w:tcPr>
            <w:tcW w:w="1924"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 lakh</w:t>
            </w:r>
          </w:p>
        </w:tc>
      </w:tr>
      <w:tr>
        <w:trPr>
          <w:cantSplit/>
        </w:trPr>
        <w:tc>
          <w:tcPr>
            <w:tcW w:w="5386"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Add: Other Income</w:t>
            </w:r>
          </w:p>
        </w:tc>
        <w:tc>
          <w:tcPr>
            <w:tcW w:w="230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3.40</w:t>
            </w:r>
          </w:p>
        </w:tc>
        <w:tc>
          <w:tcPr>
            <w:tcW w:w="192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 lakh</w:t>
            </w:r>
          </w:p>
        </w:tc>
      </w:tr>
      <w:tr>
        <w:trPr>
          <w:cantSplit/>
        </w:trPr>
        <w:tc>
          <w:tcPr>
            <w:tcW w:w="5386"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Profit Before Tax</w:t>
            </w:r>
          </w:p>
        </w:tc>
        <w:tc>
          <w:tcPr>
            <w:tcW w:w="2308"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24.70</w:t>
            </w:r>
          </w:p>
        </w:tc>
        <w:tc>
          <w:tcPr>
            <w:tcW w:w="1924" w:type="dxa"/>
            <w:tcBorders>
              <w:bottom w:val="single" w:sz="2" w:space="0" w:color="E3E7EC"/>
            </w:tcBorders>
            <w:shd w:val="clear" w:color="auto" w:fill="D8E7F7"/>
          </w:tcPr>
          <w:p>
            <w:pPr>
              <w:spacing w:before="0" w:after="0" w:line="250" w:lineRule="auto"/>
              <w:jc w:val="center"/>
            </w:pPr>
            <w:r>
              <w:rPr>
                <w:rFonts w:ascii="Arial" w:hAnsi="Arial" w:cs="Arial"/>
                <w:b/>
                <w:color w:val="122F5C"/>
                <w:sz w:val="18"/>
                <w:szCs w:val="18"/>
              </w:rPr>
              <w:t xml:space="preserve">₹ lakh</w:t>
            </w:r>
          </w:p>
        </w:tc>
      </w:tr>
      <w:tr>
        <w:trPr>
          <w:cantSplit/>
        </w:trPr>
        <w:tc>
          <w:tcPr>
            <w:tcW w:w="5386"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Profit-Volume Ratio</w:t>
            </w:r>
          </w:p>
        </w:tc>
        <w:tc>
          <w:tcPr>
            <w:tcW w:w="230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53.44</w:t>
            </w:r>
          </w:p>
        </w:tc>
        <w:tc>
          <w:tcPr>
            <w:tcW w:w="192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per cent</w:t>
            </w:r>
          </w:p>
        </w:tc>
      </w:tr>
      <w:tr>
        <w:trPr>
          <w:cantSplit/>
        </w:trPr>
        <w:tc>
          <w:tcPr>
            <w:tcW w:w="5386"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Break-Even Sales</w:t>
            </w:r>
          </w:p>
        </w:tc>
        <w:tc>
          <w:tcPr>
            <w:tcW w:w="2308"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174.76</w:t>
            </w:r>
          </w:p>
        </w:tc>
        <w:tc>
          <w:tcPr>
            <w:tcW w:w="1924" w:type="dxa"/>
            <w:tcBorders>
              <w:bottom w:val="single" w:sz="2" w:space="0" w:color="E3E7EC"/>
            </w:tcBorders>
            <w:shd w:val="clear" w:color="auto" w:fill="D8E7F7"/>
          </w:tcPr>
          <w:p>
            <w:pPr>
              <w:spacing w:before="0" w:after="0" w:line="250" w:lineRule="auto"/>
              <w:jc w:val="center"/>
            </w:pPr>
            <w:r>
              <w:rPr>
                <w:rFonts w:ascii="Arial" w:hAnsi="Arial" w:cs="Arial"/>
                <w:b/>
                <w:color w:val="122F5C"/>
                <w:sz w:val="18"/>
                <w:szCs w:val="18"/>
              </w:rPr>
              <w:t xml:space="preserve">₹ lakh</w:t>
            </w:r>
          </w:p>
        </w:tc>
      </w:tr>
      <w:tr>
        <w:trPr>
          <w:cantSplit/>
        </w:trPr>
        <w:tc>
          <w:tcPr>
            <w:tcW w:w="5386"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Margin of Safety</w:t>
            </w:r>
          </w:p>
        </w:tc>
        <w:tc>
          <w:tcPr>
            <w:tcW w:w="230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39.84</w:t>
            </w:r>
          </w:p>
        </w:tc>
        <w:tc>
          <w:tcPr>
            <w:tcW w:w="192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 lakh</w:t>
            </w:r>
          </w:p>
        </w:tc>
      </w:tr>
      <w:tr>
        <w:trPr>
          <w:cantSplit/>
        </w:trPr>
        <w:tc>
          <w:tcPr>
            <w:tcW w:w="5386"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Margin of Safety Ratio</w:t>
            </w:r>
          </w:p>
        </w:tc>
        <w:tc>
          <w:tcPr>
            <w:tcW w:w="230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18.56</w:t>
            </w:r>
          </w:p>
        </w:tc>
        <w:tc>
          <w:tcPr>
            <w:tcW w:w="1924"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per cent</w:t>
            </w:r>
          </w:p>
        </w:tc>
      </w:tr>
      <w:tr>
        <w:trPr>
          <w:cantSplit/>
        </w:trPr>
        <w:tc>
          <w:tcPr>
            <w:tcW w:w="5386"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Break-Even as a share of actual sales</w:t>
            </w:r>
          </w:p>
        </w:tc>
        <w:tc>
          <w:tcPr>
            <w:tcW w:w="230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81.44</w:t>
            </w:r>
          </w:p>
        </w:tc>
        <w:tc>
          <w:tcPr>
            <w:tcW w:w="192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per cent</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Contribution less fixed cost plus other income equals profit before tax, which reconciles the analysis to Table 4.1.</w:t>
      </w:r>
    </w:p>
    <w:p>
      <w:pPr>
        <w:spacing w:before="80" w:after="80"/>
        <w:jc w:val="center"/>
      </w:pPr>
      <w:r>
        <w:drawing>
          <wp:inline distT="0" distB="0" distL="0" distR="0">
            <wp:extent cx="5308600" cy="3185160"/>
            <wp:docPr id="16" name="Picture 16"/>
            <a:graphic>
              <a:graphicData uri="http://schemas.openxmlformats.org/drawingml/2006/picture">
                <pic:pic>
                  <pic:nvPicPr>
                    <pic:cNvPr id="16" name="fig15_breakeven.png"/>
                    <pic:cNvPicPr/>
                  </pic:nvPicPr>
                  <pic:blipFill>
                    <a:blip r:embed="rId115"/>
                    <a:stretch>
                      <a:fillRect/>
                    </a:stretch>
                  </pic:blipFill>
                  <pic:spPr>
                    <a:xfrm>
                      <a:off x="0" y="0"/>
                      <a:ext cx="5308600" cy="3185160"/>
                    </a:xfrm>
                    <a:prstGeom prst="rect">
                      <a:avLst/>
                    </a:prstGeom>
                  </pic:spPr>
                </pic:pic>
              </a:graphicData>
            </a:graphic>
          </wp:inline>
        </w:drawing>
      </w:r>
    </w:p>
    <w:p>
      <w:pPr>
        <w:spacing w:before="20" w:after="40"/>
        <w:jc w:val="center"/>
      </w:pPr>
      <w:r>
        <w:rPr>
          <w:rFonts w:ascii="Arial" w:hAnsi="Arial" w:cs="Arial"/>
          <w:b/>
          <w:color w:val="E87A1E"/>
          <w:sz w:val="18"/>
          <w:szCs w:val="18"/>
        </w:rPr>
        <w:t xml:space="preserve">Figure 5.4  </w:t>
      </w:r>
      <w:r>
        <w:rPr>
          <w:rFonts w:ascii="Arial" w:hAnsi="Arial" w:cs="Arial"/>
          <w:color w:val="444A55"/>
          <w:sz w:val="18"/>
          <w:szCs w:val="18"/>
        </w:rPr>
        <w:t xml:space="preserve">Cost-volume-profit chart showing break-even sales and the margin of safety</w:t>
      </w:r>
    </w:p>
    <w:p>
      <w:pPr>
        <w:spacing w:before="0" w:after="180"/>
        <w:jc w:val="center"/>
      </w:pPr>
      <w:r>
        <w:rPr>
          <w:rFonts w:ascii="Times New Roman" w:hAnsi="Times New Roman" w:cs="Times New Roman"/>
          <w:i/>
          <w:color w:val="8A919C"/>
          <w:sz w:val="16"/>
          <w:szCs w:val="16"/>
        </w:rPr>
        <w:t xml:space="preserve">Computed from Table 5.5.</w:t>
      </w:r>
    </w:p>
    <w:p>
      <w:pPr>
        <w:keepNext/>
        <w:keepLines/>
        <w:spacing w:before="200" w:after="80"/>
      </w:pPr>
      <w:r>
        <w:rPr>
          <w:rFonts w:ascii="Arial" w:hAnsi="Arial" w:cs="Arial"/>
          <w:b/>
          <w:color w:val="1B4B8A"/>
          <w:sz w:val="21"/>
          <w:szCs w:val="21"/>
        </w:rPr>
        <w:t xml:space="preserve">5.5.1  Interpretation</w:t>
      </w:r>
    </w:p>
    <w:p>
      <w:pPr>
        <w:spacing w:before="0" w:after="130" w:line="264" w:lineRule="auto"/>
        <w:jc w:val="both"/>
      </w:pPr>
      <w:r>
        <w:rPr>
          <w:rFonts w:ascii="Times New Roman" w:hAnsi="Times New Roman" w:cs="Times New Roman"/>
          <w:color w:val="1A1A1A"/>
          <w:sz w:val="21"/>
          <w:szCs w:val="21"/>
        </w:rPr>
        <w:t xml:space="preserve">A profit-volume ratio of 53.44 per cent means that roughly fifty-three paise in every rupee of additional revenue falls through to contribution. That is a high ratio, characteristic of a service business with no material cost, and it is the arithmetic reason why profit grows so much faster than revenue.</w:t>
      </w:r>
    </w:p>
    <w:p>
      <w:pPr>
        <w:spacing w:before="0" w:after="130" w:line="264" w:lineRule="auto"/>
        <w:jc w:val="both"/>
      </w:pPr>
      <w:r>
        <w:rPr>
          <w:rFonts w:ascii="Times New Roman" w:hAnsi="Times New Roman" w:cs="Times New Roman"/>
          <w:color w:val="1A1A1A"/>
          <w:sz w:val="21"/>
          <w:szCs w:val="21"/>
        </w:rPr>
        <w:t xml:space="preserve">Break-even sales of ₹ 174.76 lakh against actual sales of ₹ 214.60 lakh leave a margin of safety of ₹ 39.84 lakh, or 18.56 per cent of turnover. The interpretation is direct: revenue could fall by about 19 per cent before the company began to make a loss. For a business in its growth phase this is a reasonable but not generous cushion, and it is worth noting what it implies about the seasonality identified in Section 4.2. Annualised, the third quarter's revenue of ₹ 41.20 lakh represents a run rate of ₹ 164.80 lakh — below break-even. The company is loss-making in its lean quarter and recovers over the year, which is exactly why a quarterly cash budget matters more than an annual profit budget.</w:t>
      </w:r>
    </w:p>
    <w:tbl>
      <w:tblPr>
        <w:tblW w:w="9618" w:type="dxa"/>
        <w:tblBorders>
          <w:top w:val="single" w:sz="4" w:space="0" w:color="FDEFDD"/>
          <w:left w:val="single" w:sz="24" w:space="0" w:color="E87A1E"/>
          <w:bottom w:val="single" w:sz="4" w:space="0" w:color="FDEFDD"/>
          <w:right w:val="single" w:sz="4" w:space="0" w:color="FDEFDD"/>
        </w:tblBorders>
        <w:tblCellMar>
          <w:top w:w="120" w:type="dxa"/>
          <w:left w:w="180" w:type="dxa"/>
          <w:bottom w:w="120" w:type="dxa"/>
          <w:right w:w="160" w:type="dxa"/>
        </w:tblCellMar>
      </w:tblPr>
      <w:tblGrid>
        <w:gridCol w:w="9618"/>
      </w:tblGrid>
      <w:tr>
        <w:tc>
          <w:tcPr>
            <w:tcW w:w="9618" w:type="dxa"/>
            <w:shd w:val="clear" w:color="auto" w:fill="FDEFDD"/>
          </w:tcPr>
          <w:p>
            <w:pPr>
              <w:spacing w:before="0" w:after="60"/>
            </w:pPr>
            <w:r>
              <w:rPr>
                <w:rFonts w:ascii="Arial" w:hAnsi="Arial" w:cs="Arial"/>
                <w:b/>
                <w:color w:val="E87A1E"/>
                <w:sz w:val="20"/>
                <w:szCs w:val="20"/>
              </w:rPr>
              <w:t xml:space="preserve">Sensitivity of the Break-Even Point</w:t>
            </w:r>
          </w:p>
          <w:p>
            <w:pPr>
              <w:spacing w:before="0" w:after="0" w:line="250" w:lineRule="auto"/>
              <w:jc w:val="both"/>
            </w:pPr>
            <w:r>
              <w:rPr>
                <w:rFonts w:ascii="Times New Roman" w:hAnsi="Times New Roman" w:cs="Times New Roman"/>
                <w:color w:val="1A1A1A"/>
                <w:sz w:val="19"/>
                <w:szCs w:val="19"/>
              </w:rPr>
              <w:t xml:space="preserve">Because the marketing split is judgemental, the break-even figure should be treated as a range rather than a point. If performance advertising were taken as sixty-five per cent variable instead of fifty-five, fixed cost would fall to about ₹ 90.08 lakh and break-even sales to roughly ₹ 163.5 lakh. If it were taken as forty-five per cent, fixed cost would rise to about ₹ 96.70 lakh and break-even sales to roughly ₹ 184.2 lakh. The conclusion — that the company operates comfortably above break-even but is below it in the third quarter — holds across that entire range.</w:t>
            </w:r>
          </w:p>
        </w:tc>
      </w:tr>
    </w:tbl>
    <w:p>
      <w:pPr>
        <w:spacing w:before="0" w:after="0"/>
      </w:pPr>
      <w:r>
        <w:rPr>
          <w:sz w:val="12"/>
        </w:rPr>
        <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5.6  Cost Control Measures in Place</w:t>
      </w:r>
    </w:p>
    <w:p>
      <w:pPr>
        <w:spacing w:before="0" w:after="130" w:line="264" w:lineRule="auto"/>
        <w:jc w:val="both"/>
      </w:pPr>
      <w:r>
        <w:rPr>
          <w:rFonts w:ascii="Times New Roman" w:hAnsi="Times New Roman" w:cs="Times New Roman"/>
          <w:color w:val="1A1A1A"/>
          <w:sz w:val="21"/>
          <w:szCs w:val="21"/>
        </w:rPr>
        <w:t xml:space="preserve">The organisation exercises real cost control, and it would be wrong to read Section 5.3 as suggesting otherwise. The measures observed during the internship are set out below, each with the financial evidence of its effect.</w:t>
      </w:r>
    </w:p>
    <w:p>
      <w:pPr>
        <w:keepNext/>
        <w:keepLines/>
        <w:spacing w:before="220" w:after="60"/>
      </w:pPr>
      <w:r>
        <w:rPr>
          <w:rFonts w:ascii="Arial" w:hAnsi="Arial" w:cs="Arial"/>
          <w:b/>
          <w:color w:val="E87A1E"/>
          <w:sz w:val="19"/>
          <w:szCs w:val="19"/>
        </w:rPr>
        <w:t xml:space="preserve">Table 5.6  </w:t>
      </w:r>
      <w:r>
        <w:rPr>
          <w:rFonts w:ascii="Arial" w:hAnsi="Arial" w:cs="Arial"/>
          <w:b/>
          <w:color w:val="122F5C"/>
          <w:sz w:val="19"/>
          <w:szCs w:val="19"/>
        </w:rPr>
        <w:t xml:space="preserve">Cost control measures and their observed effect</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2885"/>
        <w:gridCol w:w="3462"/>
        <w:gridCol w:w="3271"/>
      </w:tblGrid>
      <w:tr>
        <w:trPr>
          <w:cantSplit/>
          <w:tblHeader/>
        </w:trPr>
        <w:tc>
          <w:tcPr>
            <w:tcW w:w="2885" w:type="dxa"/>
            <w:shd w:val="clear" w:color="auto" w:fill="122F5C"/>
            <w:vAlign w:val="center"/>
          </w:tcPr>
          <w:p>
            <w:pPr>
              <w:spacing w:before="0" w:after="0"/>
              <w:jc w:val="left"/>
            </w:pPr>
            <w:r>
              <w:rPr>
                <w:rFonts w:ascii="Arial" w:hAnsi="Arial" w:cs="Arial"/>
                <w:b/>
                <w:color w:val="FFFFFF"/>
                <w:sz w:val="16"/>
                <w:szCs w:val="16"/>
              </w:rPr>
              <w:t xml:space="preserve">Measure</w:t>
            </w:r>
          </w:p>
        </w:tc>
        <w:tc>
          <w:tcPr>
            <w:tcW w:w="3462" w:type="dxa"/>
            <w:shd w:val="clear" w:color="auto" w:fill="122F5C"/>
            <w:vAlign w:val="center"/>
          </w:tcPr>
          <w:p>
            <w:pPr>
              <w:spacing w:before="0" w:after="0"/>
              <w:jc w:val="left"/>
            </w:pPr>
            <w:r>
              <w:rPr>
                <w:rFonts w:ascii="Arial" w:hAnsi="Arial" w:cs="Arial"/>
                <w:b/>
                <w:color w:val="FFFFFF"/>
                <w:sz w:val="16"/>
                <w:szCs w:val="16"/>
              </w:rPr>
              <w:t xml:space="preserve">How it operates</w:t>
            </w:r>
          </w:p>
        </w:tc>
        <w:tc>
          <w:tcPr>
            <w:tcW w:w="3271" w:type="dxa"/>
            <w:shd w:val="clear" w:color="auto" w:fill="122F5C"/>
            <w:vAlign w:val="center"/>
          </w:tcPr>
          <w:p>
            <w:pPr>
              <w:spacing w:before="0" w:after="0"/>
              <w:jc w:val="left"/>
            </w:pPr>
            <w:r>
              <w:rPr>
                <w:rFonts w:ascii="Arial" w:hAnsi="Arial" w:cs="Arial"/>
                <w:b/>
                <w:color w:val="FFFFFF"/>
                <w:sz w:val="16"/>
                <w:szCs w:val="16"/>
              </w:rPr>
              <w:t xml:space="preserve">Evidence of effect</w:t>
            </w:r>
          </w:p>
        </w:tc>
      </w:tr>
      <w:tr>
        <w:trPr>
          <w:cantSplit/>
        </w:trPr>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Incubation rather than commercial premises</w:t>
            </w:r>
          </w:p>
        </w:tc>
        <w:tc>
          <w:tcPr>
            <w:tcW w:w="3462"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Occupancy at B-Hub at concessional charges</w:t>
            </w:r>
          </w:p>
        </w:tc>
        <w:tc>
          <w:tcPr>
            <w:tcW w:w="327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Administrative expenses held to 6.3 per cent of revenue</w:t>
            </w:r>
          </w:p>
        </w:tc>
      </w:tr>
      <w:tr>
        <w:trPr>
          <w:cantSplit/>
        </w:trPr>
        <w:tc>
          <w:tcPr>
            <w:tcW w:w="288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Variable mentor engagement</w:t>
            </w:r>
          </w:p>
        </w:tc>
        <w:tc>
          <w:tcPr>
            <w:tcW w:w="3462"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Mentors engaged per cohort on honorarium rather than on salary</w:t>
            </w:r>
          </w:p>
        </w:tc>
        <w:tc>
          <w:tcPr>
            <w:tcW w:w="327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Direct programme cost remains wholly variable, protecting the break-even point</w:t>
            </w:r>
          </w:p>
        </w:tc>
      </w:tr>
      <w:tr>
        <w:trPr>
          <w:cantSplit/>
        </w:trPr>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Reuse of content across cohorts</w:t>
            </w:r>
          </w:p>
        </w:tc>
        <w:tc>
          <w:tcPr>
            <w:tcW w:w="3462"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Assessment material and modules amortised over successive batches</w:t>
            </w:r>
          </w:p>
        </w:tc>
        <w:tc>
          <w:tcPr>
            <w:tcW w:w="327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Direct programme cost fell from 39.6 to 37.0 per cent of revenue</w:t>
            </w:r>
          </w:p>
        </w:tc>
      </w:tr>
      <w:tr>
        <w:trPr>
          <w:cantSplit/>
        </w:trPr>
        <w:tc>
          <w:tcPr>
            <w:tcW w:w="288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Digital-first delivery</w:t>
            </w:r>
          </w:p>
        </w:tc>
        <w:tc>
          <w:tcPr>
            <w:tcW w:w="3462"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Online mentoring and e-certificates in place of print and travel</w:t>
            </w:r>
          </w:p>
        </w:tc>
        <w:tc>
          <w:tcPr>
            <w:tcW w:w="327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Contributed to the favourable administration variance of 6.21 per cent</w:t>
            </w:r>
          </w:p>
        </w:tc>
      </w:tr>
      <w:tr>
        <w:trPr>
          <w:cantSplit/>
        </w:trPr>
        <w:tc>
          <w:tcPr>
            <w:tcW w:w="288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Voucher-based approval limits</w:t>
            </w:r>
          </w:p>
        </w:tc>
        <w:tc>
          <w:tcPr>
            <w:tcW w:w="3462"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Expenditure above a delegated threshold requires management approval</w:t>
            </w:r>
          </w:p>
        </w:tc>
        <w:tc>
          <w:tcPr>
            <w:tcW w:w="327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No unauthorised expenditure identified during voucher verification</w:t>
            </w:r>
          </w:p>
        </w:tc>
      </w:tr>
      <w:tr>
        <w:trPr>
          <w:cantSplit/>
        </w:trPr>
        <w:tc>
          <w:tcPr>
            <w:tcW w:w="288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Scheduled debt reduction</w:t>
            </w:r>
          </w:p>
        </w:tc>
        <w:tc>
          <w:tcPr>
            <w:tcW w:w="3462"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Term debt repaid on schedule rather than rolled over</w:t>
            </w:r>
          </w:p>
        </w:tc>
        <w:tc>
          <w:tcPr>
            <w:tcW w:w="327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Finance cost favourable by 11.11 per cent; interest cover now 16.44 times</w:t>
            </w:r>
          </w:p>
        </w:tc>
      </w:tr>
    </w:tbl>
    <w:p>
      <w:pPr>
        <w:spacing w:before="0" w:after="0"/>
      </w:pPr>
      <w:r>
        <w:rPr>
          <w:sz w:val="16"/>
        </w:rPr>
        <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5.7  Operating and Financial Leverage</w:t>
      </w:r>
    </w:p>
    <w:p>
      <w:pPr>
        <w:spacing w:before="0" w:after="130" w:line="264" w:lineRule="auto"/>
        <w:jc w:val="both"/>
      </w:pPr>
      <w:r>
        <w:rPr>
          <w:rFonts w:ascii="Times New Roman" w:hAnsi="Times New Roman" w:cs="Times New Roman"/>
          <w:color w:val="1A1A1A"/>
          <w:sz w:val="21"/>
          <w:szCs w:val="21"/>
        </w:rPr>
        <w:t xml:space="preserve">Leverage measures how sharply profit responds to a change in sales. Operating leverage arises from fixed operating cost; financial leverage from fixed financial cost. Their product, combined leverage, measures the total sensitivity of earnings to a movement in revenue.</w:t>
      </w:r>
    </w:p>
    <w:p>
      <w:pPr>
        <w:keepNext/>
        <w:keepLines/>
        <w:spacing w:before="220" w:after="60"/>
      </w:pPr>
      <w:r>
        <w:rPr>
          <w:rFonts w:ascii="Arial" w:hAnsi="Arial" w:cs="Arial"/>
          <w:b/>
          <w:color w:val="E87A1E"/>
          <w:sz w:val="19"/>
          <w:szCs w:val="19"/>
        </w:rPr>
        <w:t xml:space="preserve">Table 5.7  </w:t>
      </w:r>
      <w:r>
        <w:rPr>
          <w:rFonts w:ascii="Arial" w:hAnsi="Arial" w:cs="Arial"/>
          <w:b/>
          <w:color w:val="122F5C"/>
          <w:sz w:val="19"/>
          <w:szCs w:val="19"/>
        </w:rPr>
        <w:t xml:space="preserve">Leverage computation for FY 2025-26</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5386"/>
        <w:gridCol w:w="2308"/>
        <w:gridCol w:w="1924"/>
      </w:tblGrid>
      <w:tr>
        <w:trPr>
          <w:cantSplit/>
          <w:tblHeader/>
        </w:trPr>
        <w:tc>
          <w:tcPr>
            <w:tcW w:w="5386" w:type="dxa"/>
            <w:shd w:val="clear" w:color="auto" w:fill="122F5C"/>
            <w:vAlign w:val="center"/>
          </w:tcPr>
          <w:p>
            <w:pPr>
              <w:spacing w:before="0" w:after="0"/>
              <w:jc w:val="left"/>
            </w:pPr>
            <w:r>
              <w:rPr>
                <w:rFonts w:ascii="Arial" w:hAnsi="Arial" w:cs="Arial"/>
                <w:b/>
                <w:color w:val="FFFFFF"/>
                <w:sz w:val="18"/>
                <w:szCs w:val="18"/>
              </w:rPr>
              <w:t xml:space="preserve">Particulars</w:t>
            </w:r>
          </w:p>
        </w:tc>
        <w:tc>
          <w:tcPr>
            <w:tcW w:w="2308" w:type="dxa"/>
            <w:shd w:val="clear" w:color="auto" w:fill="122F5C"/>
            <w:vAlign w:val="center"/>
          </w:tcPr>
          <w:p>
            <w:pPr>
              <w:spacing w:before="0" w:after="0"/>
              <w:jc w:val="right"/>
            </w:pPr>
            <w:r>
              <w:rPr>
                <w:rFonts w:ascii="Arial" w:hAnsi="Arial" w:cs="Arial"/>
                <w:b/>
                <w:color w:val="FFFFFF"/>
                <w:sz w:val="18"/>
                <w:szCs w:val="18"/>
              </w:rPr>
              <w:t xml:space="preserve">Amount</w:t>
            </w:r>
          </w:p>
        </w:tc>
        <w:tc>
          <w:tcPr>
            <w:tcW w:w="1924" w:type="dxa"/>
            <w:shd w:val="clear" w:color="auto" w:fill="122F5C"/>
            <w:vAlign w:val="center"/>
          </w:tcPr>
          <w:p>
            <w:pPr>
              <w:spacing w:before="0" w:after="0"/>
              <w:jc w:val="center"/>
            </w:pPr>
            <w:r>
              <w:rPr>
                <w:rFonts w:ascii="Arial" w:hAnsi="Arial" w:cs="Arial"/>
                <w:b/>
                <w:color w:val="FFFFFF"/>
                <w:sz w:val="18"/>
                <w:szCs w:val="18"/>
              </w:rPr>
              <w:t xml:space="preserve">Unit</w:t>
            </w:r>
          </w:p>
        </w:tc>
      </w:tr>
      <w:tr>
        <w:trPr>
          <w:cantSplit/>
        </w:trPr>
        <w:tc>
          <w:tcPr>
            <w:tcW w:w="5386"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Contribution</w:t>
            </w:r>
          </w:p>
        </w:tc>
        <w:tc>
          <w:tcPr>
            <w:tcW w:w="230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114.69</w:t>
            </w:r>
          </w:p>
        </w:tc>
        <w:tc>
          <w:tcPr>
            <w:tcW w:w="192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 lakh</w:t>
            </w:r>
          </w:p>
        </w:tc>
      </w:tr>
      <w:tr>
        <w:trPr>
          <w:cantSplit/>
        </w:trPr>
        <w:tc>
          <w:tcPr>
            <w:tcW w:w="5386"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Operating Profit before other income</w:t>
            </w:r>
          </w:p>
        </w:tc>
        <w:tc>
          <w:tcPr>
            <w:tcW w:w="230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22.90</w:t>
            </w:r>
          </w:p>
        </w:tc>
        <w:tc>
          <w:tcPr>
            <w:tcW w:w="1924"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 lakh</w:t>
            </w:r>
          </w:p>
        </w:tc>
      </w:tr>
      <w:tr>
        <w:trPr>
          <w:cantSplit/>
        </w:trPr>
        <w:tc>
          <w:tcPr>
            <w:tcW w:w="5386"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Finance Cost</w:t>
            </w:r>
          </w:p>
        </w:tc>
        <w:tc>
          <w:tcPr>
            <w:tcW w:w="230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1.60</w:t>
            </w:r>
          </w:p>
        </w:tc>
        <w:tc>
          <w:tcPr>
            <w:tcW w:w="192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 lakh</w:t>
            </w:r>
          </w:p>
        </w:tc>
      </w:tr>
      <w:tr>
        <w:trPr>
          <w:cantSplit/>
        </w:trPr>
        <w:tc>
          <w:tcPr>
            <w:tcW w:w="5386"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Earnings before tax, excluding other income</w:t>
            </w:r>
          </w:p>
        </w:tc>
        <w:tc>
          <w:tcPr>
            <w:tcW w:w="230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21.30</w:t>
            </w:r>
          </w:p>
        </w:tc>
        <w:tc>
          <w:tcPr>
            <w:tcW w:w="1924"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 lakh</w:t>
            </w:r>
          </w:p>
        </w:tc>
      </w:tr>
      <w:tr>
        <w:trPr>
          <w:cantSplit/>
        </w:trPr>
        <w:tc>
          <w:tcPr>
            <w:tcW w:w="5386"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Degree of Operating Leverage</w:t>
            </w:r>
          </w:p>
        </w:tc>
        <w:tc>
          <w:tcPr>
            <w:tcW w:w="2308"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5.01</w:t>
            </w:r>
          </w:p>
        </w:tc>
        <w:tc>
          <w:tcPr>
            <w:tcW w:w="1924" w:type="dxa"/>
            <w:tcBorders>
              <w:bottom w:val="single" w:sz="2" w:space="0" w:color="E3E7EC"/>
            </w:tcBorders>
            <w:shd w:val="clear" w:color="auto" w:fill="D8E7F7"/>
          </w:tcPr>
          <w:p>
            <w:pPr>
              <w:spacing w:before="0" w:after="0" w:line="250" w:lineRule="auto"/>
              <w:jc w:val="center"/>
            </w:pPr>
            <w:r>
              <w:rPr>
                <w:rFonts w:ascii="Arial" w:hAnsi="Arial" w:cs="Arial"/>
                <w:b/>
                <w:color w:val="122F5C"/>
                <w:sz w:val="18"/>
                <w:szCs w:val="18"/>
              </w:rPr>
              <w:t xml:space="preserve">times</w:t>
            </w:r>
          </w:p>
        </w:tc>
      </w:tr>
      <w:tr>
        <w:trPr>
          <w:cantSplit/>
        </w:trPr>
        <w:tc>
          <w:tcPr>
            <w:tcW w:w="5386"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Degree of Financial Leverage</w:t>
            </w:r>
          </w:p>
        </w:tc>
        <w:tc>
          <w:tcPr>
            <w:tcW w:w="2308"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1.08</w:t>
            </w:r>
          </w:p>
        </w:tc>
        <w:tc>
          <w:tcPr>
            <w:tcW w:w="1924" w:type="dxa"/>
            <w:tcBorders>
              <w:bottom w:val="single" w:sz="2" w:space="0" w:color="E3E7EC"/>
            </w:tcBorders>
            <w:shd w:val="clear" w:color="auto" w:fill="D8E7F7"/>
          </w:tcPr>
          <w:p>
            <w:pPr>
              <w:spacing w:before="0" w:after="0" w:line="250" w:lineRule="auto"/>
              <w:jc w:val="center"/>
            </w:pPr>
            <w:r>
              <w:rPr>
                <w:rFonts w:ascii="Arial" w:hAnsi="Arial" w:cs="Arial"/>
                <w:b/>
                <w:color w:val="122F5C"/>
                <w:sz w:val="18"/>
                <w:szCs w:val="18"/>
              </w:rPr>
              <w:t xml:space="preserve">times</w:t>
            </w:r>
          </w:p>
        </w:tc>
      </w:tr>
      <w:tr>
        <w:trPr>
          <w:cantSplit/>
        </w:trPr>
        <w:tc>
          <w:tcPr>
            <w:tcW w:w="5386"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Degree of Combined Leverage</w:t>
            </w:r>
          </w:p>
        </w:tc>
        <w:tc>
          <w:tcPr>
            <w:tcW w:w="2308"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5.41</w:t>
            </w:r>
          </w:p>
        </w:tc>
        <w:tc>
          <w:tcPr>
            <w:tcW w:w="1924" w:type="dxa"/>
            <w:tcBorders>
              <w:bottom w:val="single" w:sz="2" w:space="0" w:color="E3E7EC"/>
            </w:tcBorders>
            <w:shd w:val="clear" w:color="auto" w:fill="D8E7F7"/>
          </w:tcPr>
          <w:p>
            <w:pPr>
              <w:spacing w:before="0" w:after="0" w:line="250" w:lineRule="auto"/>
              <w:jc w:val="center"/>
            </w:pPr>
            <w:r>
              <w:rPr>
                <w:rFonts w:ascii="Arial" w:hAnsi="Arial" w:cs="Arial"/>
                <w:b/>
                <w:color w:val="122F5C"/>
                <w:sz w:val="18"/>
                <w:szCs w:val="18"/>
              </w:rPr>
              <w:t xml:space="preserve">times</w:t>
            </w:r>
          </w:p>
        </w:tc>
      </w:tr>
    </w:tbl>
    <w:p>
      <w:pPr>
        <w:spacing w:before="0" w:after="0"/>
      </w:pPr>
      <w:r>
        <w:rPr>
          <w:sz w:val="16"/>
        </w:rPr>
        <w:t/>
      </w:r>
    </w:p>
    <w:p>
      <w:pPr>
        <w:spacing w:before="0" w:after="130" w:line="264" w:lineRule="auto"/>
        <w:jc w:val="both"/>
      </w:pPr>
      <w:r>
        <w:rPr>
          <w:rFonts w:ascii="Times New Roman" w:hAnsi="Times New Roman" w:cs="Times New Roman"/>
          <w:color w:val="1A1A1A"/>
          <w:sz w:val="21"/>
          <w:szCs w:val="21"/>
        </w:rPr>
        <w:t xml:space="preserve">A degree of operating leverage of 5.01 times means that a one per cent change in sales produces approximately a 5.01 per cent change in operating profit. This cuts both ways and is the quantitative expression of the seasonality risk: in a quarter when revenue falls by twenty per cent, operating profit falls by approximately 100 per cent.</w:t>
      </w:r>
    </w:p>
    <w:p>
      <w:pPr>
        <w:spacing w:before="0" w:after="130" w:line="264" w:lineRule="auto"/>
        <w:jc w:val="both"/>
      </w:pPr>
      <w:r>
        <w:rPr>
          <w:rFonts w:ascii="Times New Roman" w:hAnsi="Times New Roman" w:cs="Times New Roman"/>
          <w:color w:val="1A1A1A"/>
          <w:sz w:val="21"/>
          <w:szCs w:val="21"/>
        </w:rPr>
        <w:t xml:space="preserve">Financial leverage of only 1.08 times reflects the modest borrowing already noted. The company therefore carries high operating risk and low financial risk — an appropriate combination, since a business with volatile revenue should not compound operating volatility with fixed financial obligations. This is the strongest argument in favour of the conservative financing policy questioned in Section 4.7, and the two passages should be read together.</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5.8  Appraisal of the Budgetary Control System</w:t>
      </w:r>
    </w:p>
    <w:p>
      <w:pPr>
        <w:keepNext/>
        <w:keepLines/>
        <w:spacing w:before="220" w:after="60"/>
      </w:pPr>
      <w:r>
        <w:rPr>
          <w:rFonts w:ascii="Arial" w:hAnsi="Arial" w:cs="Arial"/>
          <w:b/>
          <w:color w:val="E87A1E"/>
          <w:sz w:val="19"/>
          <w:szCs w:val="19"/>
        </w:rPr>
        <w:t xml:space="preserve">Table 5.8  </w:t>
      </w:r>
      <w:r>
        <w:rPr>
          <w:rFonts w:ascii="Arial" w:hAnsi="Arial" w:cs="Arial"/>
          <w:b/>
          <w:color w:val="122F5C"/>
          <w:sz w:val="19"/>
          <w:szCs w:val="19"/>
        </w:rPr>
        <w:t xml:space="preserve">Appraisal of the budgetary control system</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2693"/>
        <w:gridCol w:w="1346"/>
        <w:gridCol w:w="5579"/>
      </w:tblGrid>
      <w:tr>
        <w:trPr>
          <w:cantSplit/>
          <w:tblHeader/>
        </w:trPr>
        <w:tc>
          <w:tcPr>
            <w:tcW w:w="2693" w:type="dxa"/>
            <w:shd w:val="clear" w:color="auto" w:fill="122F5C"/>
            <w:vAlign w:val="center"/>
          </w:tcPr>
          <w:p>
            <w:pPr>
              <w:spacing w:before="0" w:after="0"/>
              <w:jc w:val="left"/>
            </w:pPr>
            <w:r>
              <w:rPr>
                <w:rFonts w:ascii="Arial" w:hAnsi="Arial" w:cs="Arial"/>
                <w:b/>
                <w:color w:val="FFFFFF"/>
                <w:sz w:val="17"/>
                <w:szCs w:val="17"/>
              </w:rPr>
              <w:t xml:space="preserve">Element</w:t>
            </w:r>
          </w:p>
        </w:tc>
        <w:tc>
          <w:tcPr>
            <w:tcW w:w="1346" w:type="dxa"/>
            <w:shd w:val="clear" w:color="auto" w:fill="122F5C"/>
            <w:vAlign w:val="center"/>
          </w:tcPr>
          <w:p>
            <w:pPr>
              <w:spacing w:before="0" w:after="0"/>
              <w:jc w:val="center"/>
            </w:pPr>
            <w:r>
              <w:rPr>
                <w:rFonts w:ascii="Arial" w:hAnsi="Arial" w:cs="Arial"/>
                <w:b/>
                <w:color w:val="FFFFFF"/>
                <w:sz w:val="17"/>
                <w:szCs w:val="17"/>
              </w:rPr>
              <w:t xml:space="preserve">Assessment</w:t>
            </w:r>
          </w:p>
        </w:tc>
        <w:tc>
          <w:tcPr>
            <w:tcW w:w="5579" w:type="dxa"/>
            <w:shd w:val="clear" w:color="auto" w:fill="122F5C"/>
            <w:vAlign w:val="center"/>
          </w:tcPr>
          <w:p>
            <w:pPr>
              <w:spacing w:before="0" w:after="0"/>
              <w:jc w:val="left"/>
            </w:pPr>
            <w:r>
              <w:rPr>
                <w:rFonts w:ascii="Arial" w:hAnsi="Arial" w:cs="Arial"/>
                <w:b/>
                <w:color w:val="FFFFFF"/>
                <w:sz w:val="17"/>
                <w:szCs w:val="17"/>
              </w:rPr>
              <w:t xml:space="preserve">Observation</w:t>
            </w:r>
          </w:p>
        </w:tc>
      </w:tr>
      <w:tr>
        <w:trPr>
          <w:cantSplit/>
        </w:trPr>
        <w:tc>
          <w:tcPr>
            <w:tcW w:w="269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Budget preparation</w:t>
            </w:r>
          </w:p>
        </w:tc>
        <w:tc>
          <w:tcPr>
            <w:tcW w:w="1346"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Adequate</w:t>
            </w:r>
          </w:p>
        </w:tc>
        <w:tc>
          <w:tcPr>
            <w:tcW w:w="5579"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Prepared before the year begins, with participation from the functions that own the numbers</w:t>
            </w:r>
          </w:p>
        </w:tc>
      </w:tr>
      <w:tr>
        <w:trPr>
          <w:cantSplit/>
        </w:trPr>
        <w:tc>
          <w:tcPr>
            <w:tcW w:w="269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Basis of revenue projection</w:t>
            </w:r>
          </w:p>
        </w:tc>
        <w:tc>
          <w:tcPr>
            <w:tcW w:w="1346"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7"/>
                <w:szCs w:val="17"/>
              </w:rPr>
              <w:t xml:space="preserve">Adequate</w:t>
            </w:r>
          </w:p>
        </w:tc>
        <w:tc>
          <w:tcPr>
            <w:tcW w:w="5579"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Built from conversion history and the contract pipeline rather than from an arbitrary growth rate</w:t>
            </w:r>
          </w:p>
        </w:tc>
      </w:tr>
      <w:tr>
        <w:trPr>
          <w:cantSplit/>
        </w:trPr>
        <w:tc>
          <w:tcPr>
            <w:tcW w:w="269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Basis of marketing provision</w:t>
            </w:r>
          </w:p>
        </w:tc>
        <w:tc>
          <w:tcPr>
            <w:tcW w:w="1346"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Weak</w:t>
            </w:r>
          </w:p>
        </w:tc>
        <w:tc>
          <w:tcPr>
            <w:tcW w:w="5579"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Set as a percentage of projected revenue, which cannot reveal whether the spend is efficient</w:t>
            </w:r>
          </w:p>
        </w:tc>
      </w:tr>
      <w:tr>
        <w:trPr>
          <w:cantSplit/>
        </w:trPr>
        <w:tc>
          <w:tcPr>
            <w:tcW w:w="269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Frequency of review</w:t>
            </w:r>
          </w:p>
        </w:tc>
        <w:tc>
          <w:tcPr>
            <w:tcW w:w="1346"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7"/>
                <w:szCs w:val="17"/>
              </w:rPr>
              <w:t xml:space="preserve">Weak</w:t>
            </w:r>
          </w:p>
        </w:tc>
        <w:tc>
          <w:tcPr>
            <w:tcW w:w="5579"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Head-wise comparison performed annually; adverse variances surface only after the year has closed</w:t>
            </w:r>
          </w:p>
        </w:tc>
      </w:tr>
      <w:tr>
        <w:trPr>
          <w:cantSplit/>
        </w:trPr>
        <w:tc>
          <w:tcPr>
            <w:tcW w:w="269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Flexible budgeting</w:t>
            </w:r>
          </w:p>
        </w:tc>
        <w:tc>
          <w:tcPr>
            <w:tcW w:w="1346"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Absent</w:t>
            </w:r>
          </w:p>
        </w:tc>
        <w:tc>
          <w:tcPr>
            <w:tcW w:w="5579"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Variances are not restated to actual activity, so volume effects and efficiency effects cannot be separated</w:t>
            </w:r>
          </w:p>
        </w:tc>
      </w:tr>
      <w:tr>
        <w:trPr>
          <w:cantSplit/>
        </w:trPr>
        <w:tc>
          <w:tcPr>
            <w:tcW w:w="269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Cash budgeting</w:t>
            </w:r>
          </w:p>
        </w:tc>
        <w:tc>
          <w:tcPr>
            <w:tcW w:w="1346"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7"/>
                <w:szCs w:val="17"/>
              </w:rPr>
              <w:t xml:space="preserve">Absent</w:t>
            </w:r>
          </w:p>
        </w:tc>
        <w:tc>
          <w:tcPr>
            <w:tcW w:w="5579"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No month-wise projection of receipts and payments, despite pronounced seasonality</w:t>
            </w:r>
          </w:p>
        </w:tc>
      </w:tr>
      <w:tr>
        <w:trPr>
          <w:cantSplit/>
        </w:trPr>
        <w:tc>
          <w:tcPr>
            <w:tcW w:w="269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Responsibility accounting</w:t>
            </w:r>
          </w:p>
        </w:tc>
        <w:tc>
          <w:tcPr>
            <w:tcW w:w="1346"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Partial</w:t>
            </w:r>
          </w:p>
        </w:tc>
        <w:tc>
          <w:tcPr>
            <w:tcW w:w="5579"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Heads are monitored, but no individual is formally accountable for a named variance</w:t>
            </w:r>
          </w:p>
        </w:tc>
      </w:tr>
      <w:tr>
        <w:trPr>
          <w:cantSplit/>
        </w:trPr>
        <w:tc>
          <w:tcPr>
            <w:tcW w:w="269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Corrective action</w:t>
            </w:r>
          </w:p>
        </w:tc>
        <w:tc>
          <w:tcPr>
            <w:tcW w:w="1346"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7"/>
                <w:szCs w:val="17"/>
              </w:rPr>
              <w:t xml:space="preserve">Weak</w:t>
            </w:r>
          </w:p>
        </w:tc>
        <w:tc>
          <w:tcPr>
            <w:tcW w:w="5579"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Follows the annual review, by which time the period is closed</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Each element assessed as weak or absent is addressed by a specific recommendation in Chapter Nine.</w:t>
      </w:r>
    </w:p>
    <w:p>
      <w:r>
        <w:br w:type="page"/>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0" w:type="dxa"/>
          <w:left w:w="160" w:type="dxa"/>
          <w:bottom w:w="140" w:type="dxa"/>
          <w:right w:w="120" w:type="dxa"/>
        </w:tblCellMar>
      </w:tblPr>
      <w:tblGrid>
        <w:gridCol w:w="1731"/>
        <w:gridCol w:w="7887"/>
      </w:tblGrid>
      <w:tr>
        <w:trPr>
          <w:cantSplit/>
        </w:trPr>
        <w:tc>
          <w:tcPr>
            <w:tcW w:w="1731" w:type="dxa"/>
            <w:shd w:val="clear" w:color="auto" w:fill="122F5C"/>
            <w:vAlign w:val="center"/>
          </w:tcPr>
          <w:p>
            <w:pPr>
              <w:spacing w:before="0" w:after="20"/>
            </w:pPr>
            <w:r>
              <w:rPr>
                <w:rFonts w:ascii="Arial" w:hAnsi="Arial" w:cs="Arial"/>
                <w:b/>
                <w:color w:val="4F9EE3"/>
                <w:spacing w:val="60"/>
                <w:sz w:val="16"/>
                <w:szCs w:val="16"/>
              </w:rPr>
              <w:t xml:space="preserve">CHAPTER</w:t>
            </w:r>
          </w:p>
          <w:p>
            <w:pPr>
              <w:spacing w:before="0" w:after="0"/>
            </w:pPr>
            <w:r>
              <w:rPr>
                <w:rFonts w:ascii="Arial" w:hAnsi="Arial" w:cs="Arial"/>
                <w:b/>
                <w:color w:val="E87A1E"/>
                <w:sz w:val="62"/>
                <w:szCs w:val="62"/>
              </w:rPr>
              <w:t xml:space="preserve">6</w:t>
            </w:r>
          </w:p>
        </w:tc>
        <w:tc>
          <w:tcPr>
            <w:tcW w:w="7887" w:type="dxa"/>
            <w:shd w:val="clear" w:color="auto" w:fill="122F5C"/>
            <w:vAlign w:val="center"/>
          </w:tcPr>
          <w:p>
            <w:pPr>
              <w:spacing w:before="60" w:after="0"/>
            </w:pPr>
            <w:r>
              <w:rPr>
                <w:rFonts w:ascii="Arial" w:hAnsi="Arial" w:cs="Arial"/>
                <w:b/>
                <w:color w:val="FFFFFF"/>
                <w:sz w:val="38"/>
                <w:szCs w:val="38"/>
              </w:rPr>
              <w:t xml:space="preserve">RATIO AND FINANCIAL ANALYSIS</w:t>
            </w:r>
          </w:p>
        </w:tc>
      </w:tr>
    </w:tbl>
    <w:p>
      <w:pPr>
        <w:pBdr>
          <w:bottom w:val="single" w:sz="18" w:space="2" w:color="E87A1E"/>
        </w:pBdr>
        <w:spacing w:before="0" w:after="0"/>
      </w:pPr>
    </w:p>
    <w:p>
      <w:pPr>
        <w:spacing w:before="140" w:after="160" w:line="280" w:lineRule="auto"/>
        <w:jc w:val="both"/>
      </w:pPr>
      <w:r>
        <w:rPr>
          <w:rFonts w:ascii="Times New Roman" w:hAnsi="Times New Roman" w:cs="Times New Roman"/>
          <w:i/>
          <w:color w:val="444A55"/>
          <w:sz w:val="21"/>
          <w:szCs w:val="21"/>
        </w:rPr>
        <w:t xml:space="preserve">Liquidity, profitability, solvency and activity ratios for three years, common-size statements and a DuPont decomposition of the return on equity.</w:t>
      </w:r>
    </w:p>
    <w:p>
      <w:pPr>
        <w:pBdr>
          <w:left w:val="single" w:sz="14" w:space="8" w:color="4F9EE3"/>
        </w:pBdr>
        <w:spacing w:before="120" w:after="180" w:line="288" w:lineRule="auto"/>
        <w:ind w:left="200" w:right="0" w:firstLine="0"/>
      </w:pPr>
      <w:r>
        <w:rPr>
          <w:rFonts w:ascii="Times New Roman" w:hAnsi="Times New Roman" w:cs="Times New Roman"/>
          <w:i/>
          <w:color w:val="1B4B8A"/>
          <w:sz w:val="24"/>
          <w:szCs w:val="24"/>
        </w:rPr>
        <w:t xml:space="preserve">A ratio is not an answer. It is a question phrased precisely enough to be worth asking, and its value lies entirely in the comparison it invites.</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6.1  Framework and Basis of Computation</w:t>
      </w:r>
    </w:p>
    <w:p>
      <w:pPr>
        <w:spacing w:before="0" w:after="130" w:line="264" w:lineRule="auto"/>
        <w:jc w:val="both"/>
      </w:pPr>
      <w:r>
        <w:rPr>
          <w:rFonts w:ascii="Times New Roman" w:hAnsi="Times New Roman" w:cs="Times New Roman"/>
          <w:color w:val="1A1A1A"/>
          <w:sz w:val="21"/>
          <w:szCs w:val="21"/>
        </w:rPr>
        <w:t xml:space="preserve">Ratios have been computed under four conventional heads. Before the figures are presented, three matters of basis should be recorded, because a ratio computed on an undisclosed basis is not capable of being verified.</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1.</w:t>
      </w:r>
      <w:r>
        <w:tab/>
      </w:r>
      <w:r>
        <w:rPr>
          <w:rFonts w:ascii="Times New Roman" w:hAnsi="Times New Roman" w:cs="Times New Roman"/>
          <w:b/>
          <w:color w:val="1A1A1A"/>
          <w:sz w:val="21"/>
          <w:szCs w:val="21"/>
        </w:rPr>
        <w:t xml:space="preserve">Closing versus average balances.</w:t>
      </w:r>
      <w:r>
        <w:rPr>
          <w:rFonts w:ascii="Times New Roman" w:hAnsi="Times New Roman" w:cs="Times New Roman"/>
          <w:color w:val="1A1A1A"/>
          <w:sz w:val="21"/>
          <w:szCs w:val="21"/>
        </w:rPr>
        <w:t xml:space="preserve"> Liquidity and solvency ratios are computed on closing balance sheet figures. Activity ratios involving receivables and payables are computed on average balances, since a turnover ratio compares a flow over a year with a stock that varied during it.</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2.</w:t>
      </w:r>
      <w:r>
        <w:tab/>
      </w:r>
      <w:r>
        <w:rPr>
          <w:rFonts w:ascii="Times New Roman" w:hAnsi="Times New Roman" w:cs="Times New Roman"/>
          <w:b/>
          <w:color w:val="1A1A1A"/>
          <w:sz w:val="21"/>
          <w:szCs w:val="21"/>
        </w:rPr>
        <w:t xml:space="preserve">Return ratios.</w:t>
      </w:r>
      <w:r>
        <w:rPr>
          <w:rFonts w:ascii="Times New Roman" w:hAnsi="Times New Roman" w:cs="Times New Roman"/>
          <w:color w:val="1A1A1A"/>
          <w:sz w:val="21"/>
          <w:szCs w:val="21"/>
        </w:rPr>
        <w:t xml:space="preserve"> Return on equity and return on capital employed are computed on closing figures. In a business growing as fast as this one, that understates the true return, because the closing capital base is considerably larger than the base that actually generated the year's profit. The bias is conservative, and it is noted again where it matters.</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3.</w:t>
      </w:r>
      <w:r>
        <w:tab/>
      </w:r>
      <w:r>
        <w:rPr>
          <w:rFonts w:ascii="Times New Roman" w:hAnsi="Times New Roman" w:cs="Times New Roman"/>
          <w:b/>
          <w:color w:val="1A1A1A"/>
          <w:sz w:val="21"/>
          <w:szCs w:val="21"/>
        </w:rPr>
        <w:t xml:space="preserve">Benchmarks.</w:t>
      </w:r>
      <w:r>
        <w:rPr>
          <w:rFonts w:ascii="Times New Roman" w:hAnsi="Times New Roman" w:cs="Times New Roman"/>
          <w:color w:val="1A1A1A"/>
          <w:sz w:val="21"/>
          <w:szCs w:val="21"/>
        </w:rPr>
        <w:t xml:space="preserve"> The benchmarks quoted are conventional rules of thumb drawn from the standard texts listed in the bibliography. They are </w:t>
      </w:r>
      <w:r>
        <w:rPr>
          <w:rFonts w:ascii="Times New Roman" w:hAnsi="Times New Roman" w:cs="Times New Roman"/>
          <w:i/>
          <w:color w:val="1A1A1A"/>
          <w:sz w:val="21"/>
          <w:szCs w:val="21"/>
        </w:rPr>
        <w:t xml:space="preserve">not</w:t>
      </w:r>
      <w:r>
        <w:rPr>
          <w:rFonts w:ascii="Times New Roman" w:hAnsi="Times New Roman" w:cs="Times New Roman"/>
          <w:color w:val="1A1A1A"/>
          <w:sz w:val="21"/>
          <w:szCs w:val="21"/>
        </w:rPr>
        <w:t xml:space="preserve"> industry averages for structured internship providers, for which reliable published data does not exist in India. They should be read as a starting point for interpretation, not as a standard of compliance.</w:t>
      </w:r>
    </w:p>
    <w:p>
      <w:pPr>
        <w:spacing w:before="80" w:after="80"/>
        <w:jc w:val="center"/>
      </w:pPr>
      <w:r>
        <w:drawing>
          <wp:inline distT="0" distB="0" distL="0" distR="0">
            <wp:extent cx="5308600" cy="1433322"/>
            <wp:docPr id="17" name="Picture 17"/>
            <a:graphic>
              <a:graphicData uri="http://schemas.openxmlformats.org/drawingml/2006/picture">
                <pic:pic>
                  <pic:nvPicPr>
                    <pic:cNvPr id="17" name="fig19_scorecard.png"/>
                    <pic:cNvPicPr/>
                  </pic:nvPicPr>
                  <pic:blipFill>
                    <a:blip r:embed="rId116"/>
                    <a:stretch>
                      <a:fillRect/>
                    </a:stretch>
                  </pic:blipFill>
                  <pic:spPr>
                    <a:xfrm>
                      <a:off x="0" y="0"/>
                      <a:ext cx="5308600" cy="1433322"/>
                    </a:xfrm>
                    <a:prstGeom prst="rect">
                      <a:avLst/>
                    </a:prstGeom>
                  </pic:spPr>
                </pic:pic>
              </a:graphicData>
            </a:graphic>
          </wp:inline>
        </w:drawing>
      </w:r>
    </w:p>
    <w:p>
      <w:pPr>
        <w:spacing w:before="20" w:after="40"/>
        <w:jc w:val="center"/>
      </w:pPr>
      <w:r>
        <w:rPr>
          <w:rFonts w:ascii="Arial" w:hAnsi="Arial" w:cs="Arial"/>
          <w:b/>
          <w:color w:val="E87A1E"/>
          <w:sz w:val="18"/>
          <w:szCs w:val="18"/>
        </w:rPr>
        <w:t xml:space="preserve">Figure 6.1  </w:t>
      </w:r>
      <w:r>
        <w:rPr>
          <w:rFonts w:ascii="Arial" w:hAnsi="Arial" w:cs="Arial"/>
          <w:color w:val="444A55"/>
          <w:sz w:val="18"/>
          <w:szCs w:val="18"/>
        </w:rPr>
        <w:t xml:space="preserve">Financial scorecard at a glance, FY 2025-26</w:t>
      </w:r>
    </w:p>
    <w:p>
      <w:pPr>
        <w:spacing w:before="0" w:after="180"/>
        <w:jc w:val="center"/>
      </w:pPr>
      <w:r>
        <w:rPr>
          <w:rFonts w:ascii="Times New Roman" w:hAnsi="Times New Roman" w:cs="Times New Roman"/>
          <w:i/>
          <w:color w:val="8A919C"/>
          <w:sz w:val="16"/>
          <w:szCs w:val="16"/>
        </w:rPr>
        <w:t xml:space="preserve">Benchmarks are conventional rules of thumb.</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6.2  Liquidity Ratios</w:t>
      </w:r>
    </w:p>
    <w:p>
      <w:pPr>
        <w:keepNext/>
        <w:keepLines/>
        <w:spacing w:before="220" w:after="60"/>
      </w:pPr>
      <w:r>
        <w:rPr>
          <w:rFonts w:ascii="Arial" w:hAnsi="Arial" w:cs="Arial"/>
          <w:b/>
          <w:color w:val="E87A1E"/>
          <w:sz w:val="19"/>
          <w:szCs w:val="19"/>
        </w:rPr>
        <w:t xml:space="preserve">Table 6.1  </w:t>
      </w:r>
      <w:r>
        <w:rPr>
          <w:rFonts w:ascii="Arial" w:hAnsi="Arial" w:cs="Arial"/>
          <w:b/>
          <w:color w:val="122F5C"/>
          <w:sz w:val="19"/>
          <w:szCs w:val="19"/>
        </w:rPr>
        <w:t xml:space="preserve">Liquidity ratios</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3270"/>
        <w:gridCol w:w="1442"/>
        <w:gridCol w:w="1442"/>
        <w:gridCol w:w="1442"/>
        <w:gridCol w:w="2022"/>
      </w:tblGrid>
      <w:tr>
        <w:trPr>
          <w:cantSplit/>
          <w:tblHeader/>
        </w:trPr>
        <w:tc>
          <w:tcPr>
            <w:tcW w:w="3270" w:type="dxa"/>
            <w:shd w:val="clear" w:color="auto" w:fill="122F5C"/>
            <w:vAlign w:val="center"/>
          </w:tcPr>
          <w:p>
            <w:pPr>
              <w:spacing w:before="0" w:after="0"/>
              <w:jc w:val="left"/>
            </w:pPr>
            <w:r>
              <w:rPr>
                <w:rFonts w:ascii="Arial" w:hAnsi="Arial" w:cs="Arial"/>
                <w:b/>
                <w:color w:val="FFFFFF"/>
                <w:sz w:val="18"/>
                <w:szCs w:val="18"/>
              </w:rPr>
              <w:t xml:space="preserve">Ratio</w:t>
            </w:r>
          </w:p>
        </w:tc>
        <w:tc>
          <w:tcPr>
            <w:tcW w:w="1442" w:type="dxa"/>
            <w:shd w:val="clear" w:color="auto" w:fill="122F5C"/>
            <w:vAlign w:val="center"/>
          </w:tcPr>
          <w:p>
            <w:pPr>
              <w:spacing w:before="0" w:after="0"/>
              <w:jc w:val="right"/>
            </w:pPr>
            <w:r>
              <w:rPr>
                <w:rFonts w:ascii="Arial" w:hAnsi="Arial" w:cs="Arial"/>
                <w:b/>
                <w:color w:val="FFFFFF"/>
                <w:sz w:val="18"/>
                <w:szCs w:val="18"/>
              </w:rPr>
              <w:t xml:space="preserve">FY 2023-24</w:t>
            </w:r>
          </w:p>
        </w:tc>
        <w:tc>
          <w:tcPr>
            <w:tcW w:w="1442" w:type="dxa"/>
            <w:shd w:val="clear" w:color="auto" w:fill="122F5C"/>
            <w:vAlign w:val="center"/>
          </w:tcPr>
          <w:p>
            <w:pPr>
              <w:spacing w:before="0" w:after="0"/>
              <w:jc w:val="right"/>
            </w:pPr>
            <w:r>
              <w:rPr>
                <w:rFonts w:ascii="Arial" w:hAnsi="Arial" w:cs="Arial"/>
                <w:b/>
                <w:color w:val="FFFFFF"/>
                <w:sz w:val="18"/>
                <w:szCs w:val="18"/>
              </w:rPr>
              <w:t xml:space="preserve">FY 2024-25</w:t>
            </w:r>
          </w:p>
        </w:tc>
        <w:tc>
          <w:tcPr>
            <w:tcW w:w="1442" w:type="dxa"/>
            <w:shd w:val="clear" w:color="auto" w:fill="122F5C"/>
            <w:vAlign w:val="center"/>
          </w:tcPr>
          <w:p>
            <w:pPr>
              <w:spacing w:before="0" w:after="0"/>
              <w:jc w:val="right"/>
            </w:pPr>
            <w:r>
              <w:rPr>
                <w:rFonts w:ascii="Arial" w:hAnsi="Arial" w:cs="Arial"/>
                <w:b/>
                <w:color w:val="FFFFFF"/>
                <w:sz w:val="18"/>
                <w:szCs w:val="18"/>
              </w:rPr>
              <w:t xml:space="preserve">FY 2025-26</w:t>
            </w:r>
          </w:p>
        </w:tc>
        <w:tc>
          <w:tcPr>
            <w:tcW w:w="2022" w:type="dxa"/>
            <w:shd w:val="clear" w:color="auto" w:fill="122F5C"/>
            <w:vAlign w:val="center"/>
          </w:tcPr>
          <w:p>
            <w:pPr>
              <w:spacing w:before="0" w:after="0"/>
              <w:jc w:val="center"/>
            </w:pPr>
            <w:r>
              <w:rPr>
                <w:rFonts w:ascii="Arial" w:hAnsi="Arial" w:cs="Arial"/>
                <w:b/>
                <w:color w:val="FFFFFF"/>
                <w:sz w:val="18"/>
                <w:szCs w:val="18"/>
              </w:rPr>
              <w:t xml:space="preserve">Benchmark</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Current Ratio (times)</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1.73</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1.69</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1.88</w:t>
            </w:r>
          </w:p>
        </w:tc>
        <w:tc>
          <w:tcPr>
            <w:tcW w:w="2022"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2.00 : 1</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Quick Ratio (times)</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1.56</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1.53</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1.72</w:t>
            </w:r>
          </w:p>
        </w:tc>
        <w:tc>
          <w:tcPr>
            <w:tcW w:w="2022"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1.00 : 1</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Absolute Cash Ratio (times)</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0.62</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0.62</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0.79</w:t>
            </w:r>
          </w:p>
        </w:tc>
        <w:tc>
          <w:tcPr>
            <w:tcW w:w="2022"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0.50 : 1</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Working Capital (₹ L)</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11.35</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15.88</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27.41</w:t>
            </w:r>
          </w:p>
        </w:tc>
        <w:tc>
          <w:tcPr>
            <w:tcW w:w="2022"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Current Assets (₹ L)</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27.00</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38.90</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58.51</w:t>
            </w:r>
          </w:p>
        </w:tc>
        <w:tc>
          <w:tcPr>
            <w:tcW w:w="2022"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Current Liabilities (₹ L)</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15.65</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23.02</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31.10</w:t>
            </w:r>
          </w:p>
        </w:tc>
        <w:tc>
          <w:tcPr>
            <w:tcW w:w="2022"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Computed on closing balances. There is no inventory, so the current and quick ratios differ only by prepaid and other current assets.</w:t>
      </w:r>
    </w:p>
    <w:p>
      <w:pPr>
        <w:spacing w:before="80" w:after="80"/>
        <w:jc w:val="center"/>
      </w:pPr>
      <w:r>
        <w:drawing>
          <wp:inline distT="0" distB="0" distL="0" distR="0">
            <wp:extent cx="5308600" cy="3185160"/>
            <wp:docPr id="18" name="Picture 18"/>
            <a:graphic>
              <a:graphicData uri="http://schemas.openxmlformats.org/drawingml/2006/picture">
                <pic:pic>
                  <pic:nvPicPr>
                    <pic:cNvPr id="18" name="fig09_liquidity.png"/>
                    <pic:cNvPicPr/>
                  </pic:nvPicPr>
                  <pic:blipFill>
                    <a:blip r:embed="rId117"/>
                    <a:stretch>
                      <a:fillRect/>
                    </a:stretch>
                  </pic:blipFill>
                  <pic:spPr>
                    <a:xfrm>
                      <a:off x="0" y="0"/>
                      <a:ext cx="5308600" cy="3185160"/>
                    </a:xfrm>
                    <a:prstGeom prst="rect">
                      <a:avLst/>
                    </a:prstGeom>
                  </pic:spPr>
                </pic:pic>
              </a:graphicData>
            </a:graphic>
          </wp:inline>
        </w:drawing>
      </w:r>
    </w:p>
    <w:p>
      <w:pPr>
        <w:spacing w:before="20" w:after="40"/>
        <w:jc w:val="center"/>
      </w:pPr>
      <w:r>
        <w:rPr>
          <w:rFonts w:ascii="Arial" w:hAnsi="Arial" w:cs="Arial"/>
          <w:b/>
          <w:color w:val="E87A1E"/>
          <w:sz w:val="18"/>
          <w:szCs w:val="18"/>
        </w:rPr>
        <w:t xml:space="preserve">Figure 6.2  </w:t>
      </w:r>
      <w:r>
        <w:rPr>
          <w:rFonts w:ascii="Arial" w:hAnsi="Arial" w:cs="Arial"/>
          <w:color w:val="444A55"/>
          <w:sz w:val="18"/>
          <w:szCs w:val="18"/>
        </w:rPr>
        <w:t xml:space="preserve">Liquidity ratios over three years</w:t>
      </w:r>
    </w:p>
    <w:p>
      <w:pPr>
        <w:spacing w:before="0" w:after="180"/>
        <w:jc w:val="center"/>
      </w:pPr>
      <w:r>
        <w:rPr>
          <w:rFonts w:ascii="Times New Roman" w:hAnsi="Times New Roman" w:cs="Times New Roman"/>
          <w:i/>
          <w:color w:val="8A919C"/>
          <w:sz w:val="16"/>
          <w:szCs w:val="16"/>
        </w:rPr>
        <w:t xml:space="preserve">Computed from Table 6.1.</w:t>
      </w:r>
    </w:p>
    <w:p>
      <w:pPr>
        <w:spacing w:before="0" w:after="130" w:line="264" w:lineRule="auto"/>
        <w:jc w:val="both"/>
      </w:pPr>
      <w:r>
        <w:rPr>
          <w:rFonts w:ascii="Times New Roman" w:hAnsi="Times New Roman" w:cs="Times New Roman"/>
          <w:color w:val="1A1A1A"/>
          <w:sz w:val="21"/>
          <w:szCs w:val="21"/>
        </w:rPr>
        <w:t xml:space="preserve">The current ratio improved from 1.73 to 1.88, dipping in FY 2024-25 to 1.69 as trade payables grew faster than current assets. At 1.88:1 it remains below the conventional 2:1 benchmark, and a mechanical reading would call this a weakness.</w:t>
      </w:r>
    </w:p>
    <w:p>
      <w:pPr>
        <w:spacing w:before="0" w:after="130" w:line="264" w:lineRule="auto"/>
        <w:jc w:val="both"/>
      </w:pPr>
      <w:r>
        <w:rPr>
          <w:rFonts w:ascii="Times New Roman" w:hAnsi="Times New Roman" w:cs="Times New Roman"/>
          <w:color w:val="1A1A1A"/>
          <w:sz w:val="21"/>
          <w:szCs w:val="21"/>
        </w:rPr>
        <w:t xml:space="preserve">Such a reading would be mistaken, for two reasons. First, the 2:1 convention was devised for manufacturing and trading concerns whose current assets are dominated by inventory — an asset that may not realise its book value quickly. This company holds no inventory whatsoever; its current assets are cash and receivables, both of which are far closer to money than stock is. Second, a substantial part of its current liabilities consists of fees collected in advance, which will be discharged by delivering a service rather than by paying out cash. Judged on the quick ratio of 1.72 against a 1:1 benchmark, and on an absolute cash ratio of 0.79 against a 0.5:1 benchmark, liquidity is in fact comfortable.</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6.3  Profitability Ratios</w:t>
      </w:r>
    </w:p>
    <w:p>
      <w:pPr>
        <w:keepNext/>
        <w:keepLines/>
        <w:spacing w:before="220" w:after="60"/>
      </w:pPr>
      <w:r>
        <w:rPr>
          <w:rFonts w:ascii="Arial" w:hAnsi="Arial" w:cs="Arial"/>
          <w:b/>
          <w:color w:val="E87A1E"/>
          <w:sz w:val="19"/>
          <w:szCs w:val="19"/>
        </w:rPr>
        <w:t xml:space="preserve">Table 6.2  </w:t>
      </w:r>
      <w:r>
        <w:rPr>
          <w:rFonts w:ascii="Arial" w:hAnsi="Arial" w:cs="Arial"/>
          <w:b/>
          <w:color w:val="122F5C"/>
          <w:sz w:val="19"/>
          <w:szCs w:val="19"/>
        </w:rPr>
        <w:t xml:space="preserve">Profitability ratios (per cent)</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3270"/>
        <w:gridCol w:w="1442"/>
        <w:gridCol w:w="1442"/>
        <w:gridCol w:w="1442"/>
        <w:gridCol w:w="2022"/>
      </w:tblGrid>
      <w:tr>
        <w:trPr>
          <w:cantSplit/>
          <w:tblHeader/>
        </w:trPr>
        <w:tc>
          <w:tcPr>
            <w:tcW w:w="3270" w:type="dxa"/>
            <w:shd w:val="clear" w:color="auto" w:fill="122F5C"/>
            <w:vAlign w:val="center"/>
          </w:tcPr>
          <w:p>
            <w:pPr>
              <w:spacing w:before="0" w:after="0"/>
              <w:jc w:val="left"/>
            </w:pPr>
            <w:r>
              <w:rPr>
                <w:rFonts w:ascii="Arial" w:hAnsi="Arial" w:cs="Arial"/>
                <w:b/>
                <w:color w:val="FFFFFF"/>
                <w:sz w:val="18"/>
                <w:szCs w:val="18"/>
              </w:rPr>
              <w:t xml:space="preserve">Ratio</w:t>
            </w:r>
          </w:p>
        </w:tc>
        <w:tc>
          <w:tcPr>
            <w:tcW w:w="1442" w:type="dxa"/>
            <w:shd w:val="clear" w:color="auto" w:fill="122F5C"/>
            <w:vAlign w:val="center"/>
          </w:tcPr>
          <w:p>
            <w:pPr>
              <w:spacing w:before="0" w:after="0"/>
              <w:jc w:val="right"/>
            </w:pPr>
            <w:r>
              <w:rPr>
                <w:rFonts w:ascii="Arial" w:hAnsi="Arial" w:cs="Arial"/>
                <w:b/>
                <w:color w:val="FFFFFF"/>
                <w:sz w:val="18"/>
                <w:szCs w:val="18"/>
              </w:rPr>
              <w:t xml:space="preserve">FY 2023-24</w:t>
            </w:r>
          </w:p>
        </w:tc>
        <w:tc>
          <w:tcPr>
            <w:tcW w:w="1442" w:type="dxa"/>
            <w:shd w:val="clear" w:color="auto" w:fill="122F5C"/>
            <w:vAlign w:val="center"/>
          </w:tcPr>
          <w:p>
            <w:pPr>
              <w:spacing w:before="0" w:after="0"/>
              <w:jc w:val="right"/>
            </w:pPr>
            <w:r>
              <w:rPr>
                <w:rFonts w:ascii="Arial" w:hAnsi="Arial" w:cs="Arial"/>
                <w:b/>
                <w:color w:val="FFFFFF"/>
                <w:sz w:val="18"/>
                <w:szCs w:val="18"/>
              </w:rPr>
              <w:t xml:space="preserve">FY 2024-25</w:t>
            </w:r>
          </w:p>
        </w:tc>
        <w:tc>
          <w:tcPr>
            <w:tcW w:w="1442" w:type="dxa"/>
            <w:shd w:val="clear" w:color="auto" w:fill="122F5C"/>
            <w:vAlign w:val="center"/>
          </w:tcPr>
          <w:p>
            <w:pPr>
              <w:spacing w:before="0" w:after="0"/>
              <w:jc w:val="right"/>
            </w:pPr>
            <w:r>
              <w:rPr>
                <w:rFonts w:ascii="Arial" w:hAnsi="Arial" w:cs="Arial"/>
                <w:b/>
                <w:color w:val="FFFFFF"/>
                <w:sz w:val="18"/>
                <w:szCs w:val="18"/>
              </w:rPr>
              <w:t xml:space="preserve">FY 2025-26</w:t>
            </w:r>
          </w:p>
        </w:tc>
        <w:tc>
          <w:tcPr>
            <w:tcW w:w="2022" w:type="dxa"/>
            <w:shd w:val="clear" w:color="auto" w:fill="122F5C"/>
            <w:vAlign w:val="center"/>
          </w:tcPr>
          <w:p>
            <w:pPr>
              <w:spacing w:before="0" w:after="0"/>
              <w:jc w:val="center"/>
            </w:pPr>
            <w:r>
              <w:rPr>
                <w:rFonts w:ascii="Arial" w:hAnsi="Arial" w:cs="Arial"/>
                <w:b/>
                <w:color w:val="FFFFFF"/>
                <w:sz w:val="18"/>
                <w:szCs w:val="18"/>
              </w:rPr>
              <w:t xml:space="preserve">Benchmark</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Gross Contribution Margin</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60.37</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61.75</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63.05</w:t>
            </w:r>
          </w:p>
        </w:tc>
        <w:tc>
          <w:tcPr>
            <w:tcW w:w="2022"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Higher is better</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EBITDA Margin</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7.78</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11.36</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13.89</w:t>
            </w:r>
          </w:p>
        </w:tc>
        <w:tc>
          <w:tcPr>
            <w:tcW w:w="2022"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10.00</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Operating Margin</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5.50</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9.48</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12.26</w:t>
            </w:r>
          </w:p>
        </w:tc>
        <w:tc>
          <w:tcPr>
            <w:tcW w:w="2022"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10.00</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Net Profit Margin</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3.27</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6.41</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8.63</w:t>
            </w:r>
          </w:p>
        </w:tc>
        <w:tc>
          <w:tcPr>
            <w:tcW w:w="2022"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5.00</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Return on Equity</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21.21</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39.09</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43.18</w:t>
            </w:r>
          </w:p>
        </w:tc>
        <w:tc>
          <w:tcPr>
            <w:tcW w:w="2022"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15.00</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Return on Capital Employed</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21.77</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43.55</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53.23</w:t>
            </w:r>
          </w:p>
        </w:tc>
        <w:tc>
          <w:tcPr>
            <w:tcW w:w="2022"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15.00</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Return on Total Assets</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13.25</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25.45</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32.67</w:t>
            </w:r>
          </w:p>
        </w:tc>
        <w:tc>
          <w:tcPr>
            <w:tcW w:w="2022"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10.00</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Return ratios computed on closing figures and therefore understated in a period of rapid growth.</w:t>
      </w:r>
    </w:p>
    <w:p>
      <w:pPr>
        <w:spacing w:before="80" w:after="80"/>
        <w:jc w:val="center"/>
      </w:pPr>
      <w:r>
        <w:drawing>
          <wp:inline distT="0" distB="0" distL="0" distR="0">
            <wp:extent cx="5308600" cy="3185160"/>
            <wp:docPr id="19" name="Picture 19"/>
            <a:graphic>
              <a:graphicData uri="http://schemas.openxmlformats.org/drawingml/2006/picture">
                <pic:pic>
                  <pic:nvPicPr>
                    <pic:cNvPr id="19" name="fig11_returns.png"/>
                    <pic:cNvPicPr/>
                  </pic:nvPicPr>
                  <pic:blipFill>
                    <a:blip r:embed="rId118"/>
                    <a:stretch>
                      <a:fillRect/>
                    </a:stretch>
                  </pic:blipFill>
                  <pic:spPr>
                    <a:xfrm>
                      <a:off x="0" y="0"/>
                      <a:ext cx="5308600" cy="3185160"/>
                    </a:xfrm>
                    <a:prstGeom prst="rect">
                      <a:avLst/>
                    </a:prstGeom>
                  </pic:spPr>
                </pic:pic>
              </a:graphicData>
            </a:graphic>
          </wp:inline>
        </w:drawing>
      </w:r>
    </w:p>
    <w:p>
      <w:pPr>
        <w:spacing w:before="20" w:after="40"/>
        <w:jc w:val="center"/>
      </w:pPr>
      <w:r>
        <w:rPr>
          <w:rFonts w:ascii="Arial" w:hAnsi="Arial" w:cs="Arial"/>
          <w:b/>
          <w:color w:val="E87A1E"/>
          <w:sz w:val="18"/>
          <w:szCs w:val="18"/>
        </w:rPr>
        <w:t xml:space="preserve">Figure 6.3  </w:t>
      </w:r>
      <w:r>
        <w:rPr>
          <w:rFonts w:ascii="Arial" w:hAnsi="Arial" w:cs="Arial"/>
          <w:color w:val="444A55"/>
          <w:sz w:val="18"/>
          <w:szCs w:val="18"/>
        </w:rPr>
        <w:t xml:space="preserve">Return on equity, capital employed and total assets</w:t>
      </w:r>
    </w:p>
    <w:p>
      <w:pPr>
        <w:spacing w:before="0" w:after="180"/>
        <w:jc w:val="center"/>
      </w:pPr>
      <w:r>
        <w:rPr>
          <w:rFonts w:ascii="Times New Roman" w:hAnsi="Times New Roman" w:cs="Times New Roman"/>
          <w:i/>
          <w:color w:val="8A919C"/>
          <w:sz w:val="16"/>
          <w:szCs w:val="16"/>
        </w:rPr>
        <w:t xml:space="preserve">Computed from Table 6.2.</w:t>
      </w:r>
    </w:p>
    <w:p>
      <w:pPr>
        <w:spacing w:before="0" w:after="130" w:line="264" w:lineRule="auto"/>
        <w:jc w:val="both"/>
      </w:pPr>
      <w:r>
        <w:rPr>
          <w:rFonts w:ascii="Times New Roman" w:hAnsi="Times New Roman" w:cs="Times New Roman"/>
          <w:color w:val="1A1A1A"/>
          <w:sz w:val="21"/>
          <w:szCs w:val="21"/>
        </w:rPr>
        <w:t xml:space="preserve">Every profitability measure has improved in each successive year, which is a stronger result than a single large improvement would be. The net profit margin rose from 3.27 per cent to 8.63 per cent, crossing the five per cent benchmark in FY 2024-25. Return on capital employed of 53.23 per cent is exceptional and reflects the asset-light structure of the business: the company employs very little capital, so a modest absolute profit produces a high percentage return. Return on equity of 43.18 per cent must be read in the light of the closing-balance basis noted in Section 6.1; on average equity it would be materially higher still.</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6.4  Solvency Ratios</w:t>
      </w:r>
    </w:p>
    <w:p>
      <w:pPr>
        <w:keepNext/>
        <w:keepLines/>
        <w:spacing w:before="220" w:after="60"/>
      </w:pPr>
      <w:r>
        <w:rPr>
          <w:rFonts w:ascii="Arial" w:hAnsi="Arial" w:cs="Arial"/>
          <w:b/>
          <w:color w:val="E87A1E"/>
          <w:sz w:val="19"/>
          <w:szCs w:val="19"/>
        </w:rPr>
        <w:t xml:space="preserve">Table 6.3  </w:t>
      </w:r>
      <w:r>
        <w:rPr>
          <w:rFonts w:ascii="Arial" w:hAnsi="Arial" w:cs="Arial"/>
          <w:b/>
          <w:color w:val="122F5C"/>
          <w:sz w:val="19"/>
          <w:szCs w:val="19"/>
        </w:rPr>
        <w:t xml:space="preserve">Solvency and capital structure ratios</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3270"/>
        <w:gridCol w:w="1442"/>
        <w:gridCol w:w="1442"/>
        <w:gridCol w:w="1442"/>
        <w:gridCol w:w="2022"/>
      </w:tblGrid>
      <w:tr>
        <w:trPr>
          <w:cantSplit/>
          <w:tblHeader/>
        </w:trPr>
        <w:tc>
          <w:tcPr>
            <w:tcW w:w="3270" w:type="dxa"/>
            <w:shd w:val="clear" w:color="auto" w:fill="122F5C"/>
            <w:vAlign w:val="center"/>
          </w:tcPr>
          <w:p>
            <w:pPr>
              <w:spacing w:before="0" w:after="0"/>
              <w:jc w:val="left"/>
            </w:pPr>
            <w:r>
              <w:rPr>
                <w:rFonts w:ascii="Arial" w:hAnsi="Arial" w:cs="Arial"/>
                <w:b/>
                <w:color w:val="FFFFFF"/>
                <w:sz w:val="18"/>
                <w:szCs w:val="18"/>
              </w:rPr>
              <w:t xml:space="preserve">Ratio</w:t>
            </w:r>
          </w:p>
        </w:tc>
        <w:tc>
          <w:tcPr>
            <w:tcW w:w="1442" w:type="dxa"/>
            <w:shd w:val="clear" w:color="auto" w:fill="122F5C"/>
            <w:vAlign w:val="center"/>
          </w:tcPr>
          <w:p>
            <w:pPr>
              <w:spacing w:before="0" w:after="0"/>
              <w:jc w:val="right"/>
            </w:pPr>
            <w:r>
              <w:rPr>
                <w:rFonts w:ascii="Arial" w:hAnsi="Arial" w:cs="Arial"/>
                <w:b/>
                <w:color w:val="FFFFFF"/>
                <w:sz w:val="18"/>
                <w:szCs w:val="18"/>
              </w:rPr>
              <w:t xml:space="preserve">FY 2023-24</w:t>
            </w:r>
          </w:p>
        </w:tc>
        <w:tc>
          <w:tcPr>
            <w:tcW w:w="1442" w:type="dxa"/>
            <w:shd w:val="clear" w:color="auto" w:fill="122F5C"/>
            <w:vAlign w:val="center"/>
          </w:tcPr>
          <w:p>
            <w:pPr>
              <w:spacing w:before="0" w:after="0"/>
              <w:jc w:val="right"/>
            </w:pPr>
            <w:r>
              <w:rPr>
                <w:rFonts w:ascii="Arial" w:hAnsi="Arial" w:cs="Arial"/>
                <w:b/>
                <w:color w:val="FFFFFF"/>
                <w:sz w:val="18"/>
                <w:szCs w:val="18"/>
              </w:rPr>
              <w:t xml:space="preserve">FY 2024-25</w:t>
            </w:r>
          </w:p>
        </w:tc>
        <w:tc>
          <w:tcPr>
            <w:tcW w:w="1442" w:type="dxa"/>
            <w:shd w:val="clear" w:color="auto" w:fill="122F5C"/>
            <w:vAlign w:val="center"/>
          </w:tcPr>
          <w:p>
            <w:pPr>
              <w:spacing w:before="0" w:after="0"/>
              <w:jc w:val="right"/>
            </w:pPr>
            <w:r>
              <w:rPr>
                <w:rFonts w:ascii="Arial" w:hAnsi="Arial" w:cs="Arial"/>
                <w:b/>
                <w:color w:val="FFFFFF"/>
                <w:sz w:val="18"/>
                <w:szCs w:val="18"/>
              </w:rPr>
              <w:t xml:space="preserve">FY 2025-26</w:t>
            </w:r>
          </w:p>
        </w:tc>
        <w:tc>
          <w:tcPr>
            <w:tcW w:w="2022" w:type="dxa"/>
            <w:shd w:val="clear" w:color="auto" w:fill="122F5C"/>
            <w:vAlign w:val="center"/>
          </w:tcPr>
          <w:p>
            <w:pPr>
              <w:spacing w:before="0" w:after="0"/>
              <w:jc w:val="center"/>
            </w:pPr>
            <w:r>
              <w:rPr>
                <w:rFonts w:ascii="Arial" w:hAnsi="Arial" w:cs="Arial"/>
                <w:b/>
                <w:color w:val="FFFFFF"/>
                <w:sz w:val="18"/>
                <w:szCs w:val="18"/>
              </w:rPr>
              <w:t xml:space="preserve">Benchmark</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Debt-Equity Ratio (times)</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0.86</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0.50</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0.26</w:t>
            </w:r>
          </w:p>
        </w:tc>
        <w:tc>
          <w:tcPr>
            <w:tcW w:w="2022"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2.00 : 1 maximum</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Interest Coverage (times)</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4.82</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10.07</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16.44</w:t>
            </w:r>
          </w:p>
        </w:tc>
        <w:tc>
          <w:tcPr>
            <w:tcW w:w="2022"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3.00 minimum</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Proprietary Ratio (per cent)</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37.12</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44.01</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53.30</w:t>
            </w:r>
          </w:p>
        </w:tc>
        <w:tc>
          <w:tcPr>
            <w:tcW w:w="2022"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50.00 minimum</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Total Debt (₹ L)</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12.70</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12.10</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11.10</w:t>
            </w:r>
          </w:p>
        </w:tc>
        <w:tc>
          <w:tcPr>
            <w:tcW w:w="2022"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Shareholders' Funds (₹ L)</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14.85</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24.38</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42.91</w:t>
            </w:r>
          </w:p>
        </w:tc>
        <w:tc>
          <w:tcPr>
            <w:tcW w:w="2022"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Capital Employed (₹ L)</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24.35</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32.38</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49.41</w:t>
            </w:r>
          </w:p>
        </w:tc>
        <w:tc>
          <w:tcPr>
            <w:tcW w:w="2022"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w:t>
            </w:r>
          </w:p>
        </w:tc>
      </w:tr>
    </w:tbl>
    <w:p>
      <w:pPr>
        <w:spacing w:before="0" w:after="0"/>
      </w:pPr>
      <w:r>
        <w:rPr>
          <w:sz w:val="16"/>
        </w:rPr>
        <w:t/>
      </w:r>
    </w:p>
    <w:p>
      <w:pPr>
        <w:spacing w:before="80" w:after="80"/>
        <w:jc w:val="center"/>
      </w:pPr>
      <w:r>
        <w:drawing>
          <wp:inline distT="0" distB="0" distL="0" distR="0">
            <wp:extent cx="5308600" cy="3185160"/>
            <wp:docPr id="20" name="Picture 20"/>
            <a:graphic>
              <a:graphicData uri="http://schemas.openxmlformats.org/drawingml/2006/picture">
                <pic:pic>
                  <pic:nvPicPr>
                    <pic:cNvPr id="20" name="fig12_solvency.png"/>
                    <pic:cNvPicPr/>
                  </pic:nvPicPr>
                  <pic:blipFill>
                    <a:blip r:embed="rId119"/>
                    <a:stretch>
                      <a:fillRect/>
                    </a:stretch>
                  </pic:blipFill>
                  <pic:spPr>
                    <a:xfrm>
                      <a:off x="0" y="0"/>
                      <a:ext cx="5308600" cy="3185160"/>
                    </a:xfrm>
                    <a:prstGeom prst="rect">
                      <a:avLst/>
                    </a:prstGeom>
                  </pic:spPr>
                </pic:pic>
              </a:graphicData>
            </a:graphic>
          </wp:inline>
        </w:drawing>
      </w:r>
    </w:p>
    <w:p>
      <w:pPr>
        <w:spacing w:before="20" w:after="40"/>
        <w:jc w:val="center"/>
      </w:pPr>
      <w:r>
        <w:rPr>
          <w:rFonts w:ascii="Arial" w:hAnsi="Arial" w:cs="Arial"/>
          <w:b/>
          <w:color w:val="E87A1E"/>
          <w:sz w:val="18"/>
          <w:szCs w:val="18"/>
        </w:rPr>
        <w:t xml:space="preserve">Figure 6.4  </w:t>
      </w:r>
      <w:r>
        <w:rPr>
          <w:rFonts w:ascii="Arial" w:hAnsi="Arial" w:cs="Arial"/>
          <w:color w:val="444A55"/>
          <w:sz w:val="18"/>
          <w:szCs w:val="18"/>
        </w:rPr>
        <w:t xml:space="preserve">Debt-equity ratio and interest coverage</w:t>
      </w:r>
    </w:p>
    <w:p>
      <w:pPr>
        <w:spacing w:before="0" w:after="180"/>
        <w:jc w:val="center"/>
      </w:pPr>
      <w:r>
        <w:rPr>
          <w:rFonts w:ascii="Times New Roman" w:hAnsi="Times New Roman" w:cs="Times New Roman"/>
          <w:i/>
          <w:color w:val="8A919C"/>
          <w:sz w:val="16"/>
          <w:szCs w:val="16"/>
        </w:rPr>
        <w:t xml:space="preserve">Computed from Table 6.3.</w:t>
      </w:r>
    </w:p>
    <w:p>
      <w:pPr>
        <w:spacing w:before="0" w:after="130" w:line="264" w:lineRule="auto"/>
        <w:jc w:val="both"/>
      </w:pPr>
      <w:r>
        <w:rPr>
          <w:rFonts w:ascii="Times New Roman" w:hAnsi="Times New Roman" w:cs="Times New Roman"/>
          <w:color w:val="1A1A1A"/>
          <w:sz w:val="21"/>
          <w:szCs w:val="21"/>
        </w:rPr>
        <w:t xml:space="preserve">Solvency has strengthened on every measure. The debt-equity ratio fell from 0.86 to 0.26, interest coverage rose from 4.82 times to 16.44 times, and the proprietary ratio crossed the fifty per cent mark in FY 2025-26, reaching 53.30 per cent. More than half the assets of the business are now financed by its owners.</w:t>
      </w:r>
    </w:p>
    <w:p>
      <w:pPr>
        <w:spacing w:before="0" w:after="130" w:line="264" w:lineRule="auto"/>
        <w:jc w:val="both"/>
      </w:pPr>
      <w:r>
        <w:rPr>
          <w:rFonts w:ascii="Times New Roman" w:hAnsi="Times New Roman" w:cs="Times New Roman"/>
          <w:color w:val="1A1A1A"/>
          <w:sz w:val="21"/>
          <w:szCs w:val="21"/>
        </w:rPr>
        <w:t xml:space="preserve">It is worth being explicit about the trade-off this represents, because a falling debt-equity ratio is not automatically a virtue. With a return on capital employed of 53.23 per cent and a borrowing cost far below that figure, every rupee of prudent debt would raise the return on equity. That the company has chosen not to take it is defensible given the operating leverage of 5.01 times computed in Section 5.7 — a business with volatile revenue is right to keep its fixed financial obligations low — but it is a choice, and management should make it deliberately rather than by default.</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6.5  Activity and Efficiency Ratios</w:t>
      </w:r>
    </w:p>
    <w:p>
      <w:pPr>
        <w:keepNext/>
        <w:keepLines/>
        <w:spacing w:before="220" w:after="60"/>
      </w:pPr>
      <w:r>
        <w:rPr>
          <w:rFonts w:ascii="Arial" w:hAnsi="Arial" w:cs="Arial"/>
          <w:b/>
          <w:color w:val="E87A1E"/>
          <w:sz w:val="19"/>
          <w:szCs w:val="19"/>
        </w:rPr>
        <w:t xml:space="preserve">Table 6.4  </w:t>
      </w:r>
      <w:r>
        <w:rPr>
          <w:rFonts w:ascii="Arial" w:hAnsi="Arial" w:cs="Arial"/>
          <w:b/>
          <w:color w:val="122F5C"/>
          <w:sz w:val="19"/>
          <w:szCs w:val="19"/>
        </w:rPr>
        <w:t xml:space="preserve">Activity ratios</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3270"/>
        <w:gridCol w:w="1442"/>
        <w:gridCol w:w="1442"/>
        <w:gridCol w:w="1442"/>
        <w:gridCol w:w="2022"/>
      </w:tblGrid>
      <w:tr>
        <w:trPr>
          <w:cantSplit/>
          <w:tblHeader/>
        </w:trPr>
        <w:tc>
          <w:tcPr>
            <w:tcW w:w="3270" w:type="dxa"/>
            <w:shd w:val="clear" w:color="auto" w:fill="122F5C"/>
            <w:vAlign w:val="center"/>
          </w:tcPr>
          <w:p>
            <w:pPr>
              <w:spacing w:before="0" w:after="0"/>
              <w:jc w:val="left"/>
            </w:pPr>
            <w:r>
              <w:rPr>
                <w:rFonts w:ascii="Arial" w:hAnsi="Arial" w:cs="Arial"/>
                <w:b/>
                <w:color w:val="FFFFFF"/>
                <w:sz w:val="18"/>
                <w:szCs w:val="18"/>
              </w:rPr>
              <w:t xml:space="preserve">Ratio</w:t>
            </w:r>
          </w:p>
        </w:tc>
        <w:tc>
          <w:tcPr>
            <w:tcW w:w="1442" w:type="dxa"/>
            <w:shd w:val="clear" w:color="auto" w:fill="122F5C"/>
            <w:vAlign w:val="center"/>
          </w:tcPr>
          <w:p>
            <w:pPr>
              <w:spacing w:before="0" w:after="0"/>
              <w:jc w:val="right"/>
            </w:pPr>
            <w:r>
              <w:rPr>
                <w:rFonts w:ascii="Arial" w:hAnsi="Arial" w:cs="Arial"/>
                <w:b/>
                <w:color w:val="FFFFFF"/>
                <w:sz w:val="18"/>
                <w:szCs w:val="18"/>
              </w:rPr>
              <w:t xml:space="preserve">FY 2023-24</w:t>
            </w:r>
          </w:p>
        </w:tc>
        <w:tc>
          <w:tcPr>
            <w:tcW w:w="1442" w:type="dxa"/>
            <w:shd w:val="clear" w:color="auto" w:fill="122F5C"/>
            <w:vAlign w:val="center"/>
          </w:tcPr>
          <w:p>
            <w:pPr>
              <w:spacing w:before="0" w:after="0"/>
              <w:jc w:val="right"/>
            </w:pPr>
            <w:r>
              <w:rPr>
                <w:rFonts w:ascii="Arial" w:hAnsi="Arial" w:cs="Arial"/>
                <w:b/>
                <w:color w:val="FFFFFF"/>
                <w:sz w:val="18"/>
                <w:szCs w:val="18"/>
              </w:rPr>
              <w:t xml:space="preserve">FY 2024-25</w:t>
            </w:r>
          </w:p>
        </w:tc>
        <w:tc>
          <w:tcPr>
            <w:tcW w:w="1442" w:type="dxa"/>
            <w:shd w:val="clear" w:color="auto" w:fill="122F5C"/>
            <w:vAlign w:val="center"/>
          </w:tcPr>
          <w:p>
            <w:pPr>
              <w:spacing w:before="0" w:after="0"/>
              <w:jc w:val="right"/>
            </w:pPr>
            <w:r>
              <w:rPr>
                <w:rFonts w:ascii="Arial" w:hAnsi="Arial" w:cs="Arial"/>
                <w:b/>
                <w:color w:val="FFFFFF"/>
                <w:sz w:val="18"/>
                <w:szCs w:val="18"/>
              </w:rPr>
              <w:t xml:space="preserve">FY 2025-26</w:t>
            </w:r>
          </w:p>
        </w:tc>
        <w:tc>
          <w:tcPr>
            <w:tcW w:w="2022" w:type="dxa"/>
            <w:shd w:val="clear" w:color="auto" w:fill="122F5C"/>
            <w:vAlign w:val="center"/>
          </w:tcPr>
          <w:p>
            <w:pPr>
              <w:spacing w:before="0" w:after="0"/>
              <w:jc w:val="center"/>
            </w:pPr>
            <w:r>
              <w:rPr>
                <w:rFonts w:ascii="Arial" w:hAnsi="Arial" w:cs="Arial"/>
                <w:b/>
                <w:color w:val="FFFFFF"/>
                <w:sz w:val="18"/>
                <w:szCs w:val="18"/>
              </w:rPr>
              <w:t xml:space="preserve">Benchmark</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Total Asset Turnover (times)</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2.41</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2.69</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2.67</w:t>
            </w:r>
          </w:p>
        </w:tc>
        <w:tc>
          <w:tcPr>
            <w:tcW w:w="2022"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Higher is better</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Fixed Asset Turnover (times)</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8.03</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9.92</w:t>
            </w:r>
          </w:p>
        </w:tc>
        <w:tc>
          <w:tcPr>
            <w:tcW w:w="1442"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10.73</w:t>
            </w:r>
          </w:p>
        </w:tc>
        <w:tc>
          <w:tcPr>
            <w:tcW w:w="2022"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Higher is better</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Working Capital Turnover (times)</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8.49</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9.37</w:t>
            </w:r>
          </w:p>
        </w:tc>
        <w:tc>
          <w:tcPr>
            <w:tcW w:w="144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7.83</w:t>
            </w:r>
          </w:p>
        </w:tc>
        <w:tc>
          <w:tcPr>
            <w:tcW w:w="2022"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Higher is better</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Working capital turnover is unusually high because the business carries no inventory.</w:t>
      </w:r>
    </w:p>
    <w:p>
      <w:pPr>
        <w:spacing w:before="80" w:after="80"/>
        <w:jc w:val="center"/>
      </w:pPr>
      <w:r>
        <w:drawing>
          <wp:inline distT="0" distB="0" distL="0" distR="0">
            <wp:extent cx="5308600" cy="3185160"/>
            <wp:docPr id="21" name="Picture 21"/>
            <a:graphic>
              <a:graphicData uri="http://schemas.openxmlformats.org/drawingml/2006/picture">
                <pic:pic>
                  <pic:nvPicPr>
                    <pic:cNvPr id="21" name="fig13_turnover.png"/>
                    <pic:cNvPicPr/>
                  </pic:nvPicPr>
                  <pic:blipFill>
                    <a:blip r:embed="rId120"/>
                    <a:stretch>
                      <a:fillRect/>
                    </a:stretch>
                  </pic:blipFill>
                  <pic:spPr>
                    <a:xfrm>
                      <a:off x="0" y="0"/>
                      <a:ext cx="5308600" cy="3185160"/>
                    </a:xfrm>
                    <a:prstGeom prst="rect">
                      <a:avLst/>
                    </a:prstGeom>
                  </pic:spPr>
                </pic:pic>
              </a:graphicData>
            </a:graphic>
          </wp:inline>
        </w:drawing>
      </w:r>
    </w:p>
    <w:p>
      <w:pPr>
        <w:spacing w:before="20" w:after="40"/>
        <w:jc w:val="center"/>
      </w:pPr>
      <w:r>
        <w:rPr>
          <w:rFonts w:ascii="Arial" w:hAnsi="Arial" w:cs="Arial"/>
          <w:b/>
          <w:color w:val="E87A1E"/>
          <w:sz w:val="18"/>
          <w:szCs w:val="18"/>
        </w:rPr>
        <w:t xml:space="preserve">Figure 6.5  </w:t>
      </w:r>
      <w:r>
        <w:rPr>
          <w:rFonts w:ascii="Arial" w:hAnsi="Arial" w:cs="Arial"/>
          <w:color w:val="444A55"/>
          <w:sz w:val="18"/>
          <w:szCs w:val="18"/>
        </w:rPr>
        <w:t xml:space="preserve">Activity ratios: asset utilisation</w:t>
      </w:r>
    </w:p>
    <w:p>
      <w:pPr>
        <w:spacing w:before="0" w:after="180"/>
        <w:jc w:val="center"/>
      </w:pPr>
      <w:r>
        <w:rPr>
          <w:rFonts w:ascii="Times New Roman" w:hAnsi="Times New Roman" w:cs="Times New Roman"/>
          <w:i/>
          <w:color w:val="8A919C"/>
          <w:sz w:val="16"/>
          <w:szCs w:val="16"/>
        </w:rPr>
        <w:t xml:space="preserve">Computed from Table 6.4.</w:t>
      </w:r>
    </w:p>
    <w:p>
      <w:pPr>
        <w:spacing w:before="0" w:after="130" w:line="264" w:lineRule="auto"/>
        <w:jc w:val="both"/>
      </w:pPr>
      <w:r>
        <w:rPr>
          <w:rFonts w:ascii="Times New Roman" w:hAnsi="Times New Roman" w:cs="Times New Roman"/>
          <w:color w:val="1A1A1A"/>
          <w:sz w:val="21"/>
          <w:szCs w:val="21"/>
        </w:rPr>
        <w:t xml:space="preserve">Fixed asset turnover of 10.73 times is the number that best captures what kind of business this is. Every rupee invested in property, plant, equipment and software generates almost eleven rupees of revenue. Growth therefore requires very little capital expenditure, which is why the company has been able to expand revenue by 123 per cent over two years while reducing its borrowings.</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6.6  The Working Capital Cycle</w:t>
      </w:r>
    </w:p>
    <w:p>
      <w:pPr>
        <w:keepNext/>
        <w:keepLines/>
        <w:spacing w:before="220" w:after="60"/>
      </w:pPr>
      <w:r>
        <w:rPr>
          <w:rFonts w:ascii="Arial" w:hAnsi="Arial" w:cs="Arial"/>
          <w:b/>
          <w:color w:val="E87A1E"/>
          <w:sz w:val="19"/>
          <w:szCs w:val="19"/>
        </w:rPr>
        <w:t xml:space="preserve">Table 6.5  </w:t>
      </w:r>
      <w:r>
        <w:rPr>
          <w:rFonts w:ascii="Arial" w:hAnsi="Arial" w:cs="Arial"/>
          <w:b/>
          <w:color w:val="122F5C"/>
          <w:sz w:val="19"/>
          <w:szCs w:val="19"/>
        </w:rPr>
        <w:t xml:space="preserve">Working capital cycle</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4424"/>
        <w:gridCol w:w="2596"/>
        <w:gridCol w:w="2598"/>
      </w:tblGrid>
      <w:tr>
        <w:trPr>
          <w:cantSplit/>
          <w:tblHeader/>
        </w:trPr>
        <w:tc>
          <w:tcPr>
            <w:tcW w:w="4424" w:type="dxa"/>
            <w:shd w:val="clear" w:color="auto" w:fill="122F5C"/>
            <w:vAlign w:val="center"/>
          </w:tcPr>
          <w:p>
            <w:pPr>
              <w:spacing w:before="0" w:after="0"/>
              <w:jc w:val="left"/>
            </w:pPr>
            <w:r>
              <w:rPr>
                <w:rFonts w:ascii="Arial" w:hAnsi="Arial" w:cs="Arial"/>
                <w:b/>
                <w:color w:val="FFFFFF"/>
                <w:sz w:val="18"/>
                <w:szCs w:val="18"/>
              </w:rPr>
              <w:t xml:space="preserve">Particulars</w:t>
            </w:r>
          </w:p>
        </w:tc>
        <w:tc>
          <w:tcPr>
            <w:tcW w:w="2596" w:type="dxa"/>
            <w:shd w:val="clear" w:color="auto" w:fill="122F5C"/>
            <w:vAlign w:val="center"/>
          </w:tcPr>
          <w:p>
            <w:pPr>
              <w:spacing w:before="0" w:after="0"/>
              <w:jc w:val="right"/>
            </w:pPr>
            <w:r>
              <w:rPr>
                <w:rFonts w:ascii="Arial" w:hAnsi="Arial" w:cs="Arial"/>
                <w:b/>
                <w:color w:val="FFFFFF"/>
                <w:sz w:val="18"/>
                <w:szCs w:val="18"/>
              </w:rPr>
              <w:t xml:space="preserve">FY 2024-25</w:t>
            </w:r>
          </w:p>
        </w:tc>
        <w:tc>
          <w:tcPr>
            <w:tcW w:w="2598" w:type="dxa"/>
            <w:shd w:val="clear" w:color="auto" w:fill="122F5C"/>
            <w:vAlign w:val="center"/>
          </w:tcPr>
          <w:p>
            <w:pPr>
              <w:spacing w:before="0" w:after="0"/>
              <w:jc w:val="right"/>
            </w:pPr>
            <w:r>
              <w:rPr>
                <w:rFonts w:ascii="Arial" w:hAnsi="Arial" w:cs="Arial"/>
                <w:b/>
                <w:color w:val="FFFFFF"/>
                <w:sz w:val="18"/>
                <w:szCs w:val="18"/>
              </w:rPr>
              <w:t xml:space="preserve">FY 2025-26</w:t>
            </w:r>
          </w:p>
        </w:tc>
      </w:tr>
      <w:tr>
        <w:trPr>
          <w:cantSplit/>
        </w:trPr>
        <w:tc>
          <w:tcPr>
            <w:tcW w:w="4424"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Debtors Turnover (times)</w:t>
            </w:r>
          </w:p>
        </w:tc>
        <w:tc>
          <w:tcPr>
            <w:tcW w:w="2596"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10.37</w:t>
            </w:r>
          </w:p>
        </w:tc>
        <w:tc>
          <w:tcPr>
            <w:tcW w:w="259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10.73</w:t>
            </w:r>
          </w:p>
        </w:tc>
      </w:tr>
      <w:tr>
        <w:trPr>
          <w:cantSplit/>
        </w:trPr>
        <w:tc>
          <w:tcPr>
            <w:tcW w:w="4424"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Collection Period (days)</w:t>
            </w:r>
          </w:p>
        </w:tc>
        <w:tc>
          <w:tcPr>
            <w:tcW w:w="2596"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35.2</w:t>
            </w:r>
          </w:p>
        </w:tc>
        <w:tc>
          <w:tcPr>
            <w:tcW w:w="259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34.0</w:t>
            </w:r>
          </w:p>
        </w:tc>
      </w:tr>
      <w:tr>
        <w:trPr>
          <w:cantSplit/>
        </w:trPr>
        <w:tc>
          <w:tcPr>
            <w:tcW w:w="4424"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Creditors Turnover (times)</w:t>
            </w:r>
          </w:p>
        </w:tc>
        <w:tc>
          <w:tcPr>
            <w:tcW w:w="2596"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6.09</w:t>
            </w:r>
          </w:p>
        </w:tc>
        <w:tc>
          <w:tcPr>
            <w:tcW w:w="259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5.85</w:t>
            </w:r>
          </w:p>
        </w:tc>
      </w:tr>
      <w:tr>
        <w:trPr>
          <w:cantSplit/>
        </w:trPr>
        <w:tc>
          <w:tcPr>
            <w:tcW w:w="4424"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Payment Period (days)</w:t>
            </w:r>
          </w:p>
        </w:tc>
        <w:tc>
          <w:tcPr>
            <w:tcW w:w="2596"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59.9</w:t>
            </w:r>
          </w:p>
        </w:tc>
        <w:tc>
          <w:tcPr>
            <w:tcW w:w="259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62.4</w:t>
            </w:r>
          </w:p>
        </w:tc>
      </w:tr>
      <w:tr>
        <w:trPr>
          <w:cantSplit/>
        </w:trPr>
        <w:tc>
          <w:tcPr>
            <w:tcW w:w="4424"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Inventory Holding Period (days)</w:t>
            </w:r>
          </w:p>
        </w:tc>
        <w:tc>
          <w:tcPr>
            <w:tcW w:w="2596"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Nil</w:t>
            </w:r>
          </w:p>
        </w:tc>
        <w:tc>
          <w:tcPr>
            <w:tcW w:w="259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Nil</w:t>
            </w:r>
          </w:p>
        </w:tc>
      </w:tr>
      <w:tr>
        <w:trPr>
          <w:cantSplit/>
        </w:trPr>
        <w:tc>
          <w:tcPr>
            <w:tcW w:w="4424"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Cash Conversion Cycle (days)</w:t>
            </w:r>
          </w:p>
        </w:tc>
        <w:tc>
          <w:tcPr>
            <w:tcW w:w="2596"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-24.7</w:t>
            </w:r>
          </w:p>
        </w:tc>
        <w:tc>
          <w:tcPr>
            <w:tcW w:w="2598"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-28.4</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Creditors turnover is computed on direct programme cost as a proxy for credit purchases.</w:t>
      </w:r>
    </w:p>
    <w:p>
      <w:pPr>
        <w:spacing w:before="0" w:after="130" w:line="264" w:lineRule="auto"/>
        <w:jc w:val="both"/>
      </w:pPr>
      <w:r>
        <w:rPr>
          <w:rFonts w:ascii="Times New Roman" w:hAnsi="Times New Roman" w:cs="Times New Roman"/>
          <w:color w:val="1A1A1A"/>
          <w:sz w:val="21"/>
          <w:szCs w:val="21"/>
        </w:rPr>
        <w:t xml:space="preserve">The cash conversion cycle of -28.4 days is negative, and its interpretation is important. The company collects from its customers about 34.0 days after the sale but settles its own obligations about 62.4 days after incurring them. For roughly 28 days it therefore has the use of money that is not its own. This is how the business has financed growth without a matching increase in working capital borrowing, and it is a structural feature of the model rather than a temporary advantage.</w:t>
      </w:r>
    </w:p>
    <w:tbl>
      <w:tblPr>
        <w:tblW w:w="9618" w:type="dxa"/>
        <w:tblBorders>
          <w:top w:val="single" w:sz="4" w:space="0" w:color="FBE9E7"/>
          <w:left w:val="single" w:sz="24" w:space="0" w:color="C0392B"/>
          <w:bottom w:val="single" w:sz="4" w:space="0" w:color="FBE9E7"/>
          <w:right w:val="single" w:sz="4" w:space="0" w:color="FBE9E7"/>
        </w:tblBorders>
        <w:tblCellMar>
          <w:top w:w="120" w:type="dxa"/>
          <w:left w:w="180" w:type="dxa"/>
          <w:bottom w:w="120" w:type="dxa"/>
          <w:right w:w="160" w:type="dxa"/>
        </w:tblCellMar>
      </w:tblPr>
      <w:tblGrid>
        <w:gridCol w:w="9618"/>
      </w:tblGrid>
      <w:tr>
        <w:tc>
          <w:tcPr>
            <w:tcW w:w="9618" w:type="dxa"/>
            <w:shd w:val="clear" w:color="auto" w:fill="FBE9E7"/>
          </w:tcPr>
          <w:p>
            <w:pPr>
              <w:spacing w:before="0" w:after="60"/>
            </w:pPr>
            <w:r>
              <w:rPr>
                <w:rFonts w:ascii="Arial" w:hAnsi="Arial" w:cs="Arial"/>
                <w:b/>
                <w:color w:val="C0392B"/>
                <w:sz w:val="20"/>
                <w:szCs w:val="20"/>
              </w:rPr>
              <w:t xml:space="preserve">The Qualification That Matters Most</w:t>
            </w:r>
          </w:p>
          <w:p>
            <w:pPr>
              <w:spacing w:before="0" w:after="0" w:line="250" w:lineRule="auto"/>
              <w:jc w:val="both"/>
            </w:pPr>
            <w:r>
              <w:rPr>
                <w:rFonts w:ascii="Times New Roman" w:hAnsi="Times New Roman" w:cs="Times New Roman"/>
                <w:color w:val="1A1A1A"/>
                <w:sz w:val="19"/>
                <w:szCs w:val="19"/>
              </w:rPr>
              <w:t xml:space="preserve">The favourable cycle rests on a payment period of about 62.4 days to mentors and vendors. That period is an accommodation, not a contractual right. Should mentors press for faster settlement — a realistic prospect in a competitive market for good mentors — the cycle would turn positive and the company would need working capital finance for the first time. The negative cycle should therefore be treated as a benefit to be protected, not as a permanent feature to be relied upon.</w:t>
            </w:r>
          </w:p>
        </w:tc>
      </w:tr>
    </w:tbl>
    <w:p>
      <w:pPr>
        <w:spacing w:before="0" w:after="0"/>
      </w:pPr>
      <w:r>
        <w:rPr>
          <w:sz w:val="12"/>
        </w:rPr>
        <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6.7  Common-Size Balance Sheet</w:t>
      </w:r>
    </w:p>
    <w:p>
      <w:pPr>
        <w:keepNext/>
        <w:keepLines/>
        <w:spacing w:before="220" w:after="60"/>
      </w:pPr>
      <w:r>
        <w:rPr>
          <w:rFonts w:ascii="Arial" w:hAnsi="Arial" w:cs="Arial"/>
          <w:b/>
          <w:color w:val="E87A1E"/>
          <w:sz w:val="19"/>
          <w:szCs w:val="19"/>
        </w:rPr>
        <w:t xml:space="preserve">Table 6.6  </w:t>
      </w:r>
      <w:r>
        <w:rPr>
          <w:rFonts w:ascii="Arial" w:hAnsi="Arial" w:cs="Arial"/>
          <w:b/>
          <w:color w:val="122F5C"/>
          <w:sz w:val="19"/>
          <w:szCs w:val="19"/>
        </w:rPr>
        <w:t xml:space="preserve">Common-size Balance Sheet (percentage of balance sheet total)</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3847"/>
        <w:gridCol w:w="1923"/>
        <w:gridCol w:w="1923"/>
        <w:gridCol w:w="1925"/>
      </w:tblGrid>
      <w:tr>
        <w:trPr>
          <w:cantSplit/>
          <w:tblHeader/>
        </w:trPr>
        <w:tc>
          <w:tcPr>
            <w:tcW w:w="3847" w:type="dxa"/>
            <w:shd w:val="clear" w:color="auto" w:fill="122F5C"/>
            <w:vAlign w:val="center"/>
          </w:tcPr>
          <w:p>
            <w:pPr>
              <w:spacing w:before="0" w:after="0"/>
              <w:jc w:val="left"/>
            </w:pPr>
            <w:r>
              <w:rPr>
                <w:rFonts w:ascii="Arial" w:hAnsi="Arial" w:cs="Arial"/>
                <w:b/>
                <w:color w:val="FFFFFF"/>
                <w:sz w:val="17"/>
                <w:szCs w:val="17"/>
              </w:rPr>
              <w:t xml:space="preserve">Particulars</w:t>
            </w:r>
          </w:p>
        </w:tc>
        <w:tc>
          <w:tcPr>
            <w:tcW w:w="1923" w:type="dxa"/>
            <w:shd w:val="clear" w:color="auto" w:fill="122F5C"/>
            <w:vAlign w:val="center"/>
          </w:tcPr>
          <w:p>
            <w:pPr>
              <w:spacing w:before="0" w:after="0"/>
              <w:jc w:val="right"/>
            </w:pPr>
            <w:r>
              <w:rPr>
                <w:rFonts w:ascii="Arial" w:hAnsi="Arial" w:cs="Arial"/>
                <w:b/>
                <w:color w:val="FFFFFF"/>
                <w:sz w:val="17"/>
                <w:szCs w:val="17"/>
              </w:rPr>
              <w:t xml:space="preserve">FY 2023-24</w:t>
            </w:r>
          </w:p>
        </w:tc>
        <w:tc>
          <w:tcPr>
            <w:tcW w:w="1923" w:type="dxa"/>
            <w:shd w:val="clear" w:color="auto" w:fill="122F5C"/>
            <w:vAlign w:val="center"/>
          </w:tcPr>
          <w:p>
            <w:pPr>
              <w:spacing w:before="0" w:after="0"/>
              <w:jc w:val="right"/>
            </w:pPr>
            <w:r>
              <w:rPr>
                <w:rFonts w:ascii="Arial" w:hAnsi="Arial" w:cs="Arial"/>
                <w:b/>
                <w:color w:val="FFFFFF"/>
                <w:sz w:val="17"/>
                <w:szCs w:val="17"/>
              </w:rPr>
              <w:t xml:space="preserve">FY 2024-25</w:t>
            </w:r>
          </w:p>
        </w:tc>
        <w:tc>
          <w:tcPr>
            <w:tcW w:w="1925" w:type="dxa"/>
            <w:shd w:val="clear" w:color="auto" w:fill="122F5C"/>
            <w:vAlign w:val="center"/>
          </w:tcPr>
          <w:p>
            <w:pPr>
              <w:spacing w:before="0" w:after="0"/>
              <w:jc w:val="right"/>
            </w:pPr>
            <w:r>
              <w:rPr>
                <w:rFonts w:ascii="Arial" w:hAnsi="Arial" w:cs="Arial"/>
                <w:b/>
                <w:color w:val="FFFFFF"/>
                <w:sz w:val="17"/>
                <w:szCs w:val="17"/>
              </w:rPr>
              <w:t xml:space="preserve">FY 2025-26</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Share Capital</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25.00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18.05</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12.42</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Reserves &amp; Surplus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12.12</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25.96</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40.88</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Long-term Borrowings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23.75</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14.44</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8.07</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Short-term Borrowings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8.00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7.40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5.71</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Trade Payables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18.50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20.40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19.62</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Other Current Liabilities &amp; Provisions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12.62</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13.75</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13.29</w:t>
            </w:r>
          </w:p>
        </w:tc>
      </w:tr>
      <w:tr>
        <w:trPr>
          <w:cantSplit/>
        </w:trPr>
        <w:tc>
          <w:tcPr>
            <w:tcW w:w="3847" w:type="dxa"/>
            <w:tcBorders>
              <w:bottom w:val="single" w:sz="2" w:space="0" w:color="E3E7EC"/>
            </w:tcBorders>
            <w:shd w:val="clear" w:color="auto" w:fill="D8E7F7"/>
          </w:tcPr>
          <w:p>
            <w:pPr>
              <w:spacing w:before="0" w:after="0" w:line="250" w:lineRule="auto"/>
              <w:jc w:val="left"/>
            </w:pPr>
            <w:r>
              <w:rPr>
                <w:rFonts w:ascii="Arial" w:hAnsi="Arial" w:cs="Arial"/>
                <w:b/>
                <w:color w:val="122F5C"/>
                <w:sz w:val="17"/>
                <w:szCs w:val="17"/>
              </w:rPr>
              <w:t xml:space="preserve">Total</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100.00</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100.00</w:t>
            </w:r>
          </w:p>
        </w:tc>
        <w:tc>
          <w:tcPr>
            <w:tcW w:w="1925"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100.00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Property, Plant &amp; Equipment</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21.50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18.77</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16.40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Intangible Assets (Platform/Software)</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8.50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8.30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8.45</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Non-current Investments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2.50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2.71</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2.48</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Trade Receivables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29.50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30.51</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28.69</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Cash &amp; Bank Balances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24.25</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25.63</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30.57</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Short-term Loans &amp; Advances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7.25</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7.40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7.20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Other Current Assets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6.50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6.68</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6.21</w:t>
            </w:r>
          </w:p>
        </w:tc>
      </w:tr>
      <w:tr>
        <w:trPr>
          <w:cantSplit/>
        </w:trPr>
        <w:tc>
          <w:tcPr>
            <w:tcW w:w="3847" w:type="dxa"/>
            <w:tcBorders>
              <w:bottom w:val="single" w:sz="2" w:space="0" w:color="E3E7EC"/>
            </w:tcBorders>
            <w:shd w:val="clear" w:color="auto" w:fill="D8E7F7"/>
          </w:tcPr>
          <w:p>
            <w:pPr>
              <w:spacing w:before="0" w:after="0" w:line="250" w:lineRule="auto"/>
              <w:jc w:val="left"/>
            </w:pPr>
            <w:r>
              <w:rPr>
                <w:rFonts w:ascii="Arial" w:hAnsi="Arial" w:cs="Arial"/>
                <w:b/>
                <w:color w:val="122F5C"/>
                <w:sz w:val="17"/>
                <w:szCs w:val="17"/>
              </w:rPr>
              <w:t xml:space="preserve">Total</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100.00</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100.00</w:t>
            </w:r>
          </w:p>
        </w:tc>
        <w:tc>
          <w:tcPr>
            <w:tcW w:w="1925"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100.00</w:t>
            </w:r>
          </w:p>
        </w:tc>
      </w:tr>
    </w:tbl>
    <w:p>
      <w:pPr>
        <w:spacing w:before="0" w:after="0"/>
      </w:pPr>
      <w:r>
        <w:rPr>
          <w:sz w:val="16"/>
        </w:rPr>
        <w:t/>
      </w:r>
    </w:p>
    <w:p>
      <w:pPr>
        <w:spacing w:before="0" w:after="130" w:line="264" w:lineRule="auto"/>
        <w:jc w:val="both"/>
      </w:pPr>
      <w:r>
        <w:rPr>
          <w:rFonts w:ascii="Times New Roman" w:hAnsi="Times New Roman" w:cs="Times New Roman"/>
          <w:color w:val="1A1A1A"/>
          <w:sz w:val="21"/>
          <w:szCs w:val="21"/>
        </w:rPr>
        <w:t xml:space="preserve">The structural shift over three years is visible at a glance. On the liabilities side, shareholders' funds rose from 37.12 per cent of the balance sheet to 53.30 per cent, while long-term borrowings fell from 23.75 per cent to 8.07 per cent. On the assets side, cash and bank balances rose from 24.25 per cent to 30.57 per cent, the largest single asset in the business. A balance sheet that is becoming simultaneously more owner-financed and more liquid is strengthening in the most fundamental sense.</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6.8  DuPont Decomposition of Return on Equity</w:t>
      </w:r>
    </w:p>
    <w:p>
      <w:pPr>
        <w:spacing w:before="0" w:after="130" w:line="264" w:lineRule="auto"/>
        <w:jc w:val="both"/>
      </w:pPr>
      <w:r>
        <w:rPr>
          <w:rFonts w:ascii="Times New Roman" w:hAnsi="Times New Roman" w:cs="Times New Roman"/>
          <w:color w:val="1A1A1A"/>
          <w:sz w:val="21"/>
          <w:szCs w:val="21"/>
        </w:rPr>
        <w:t xml:space="preserve">The DuPont identity decomposes return on equity into three components, so that an improvement can be attributed to operating efficiency, to asset utilisation or merely to gearing:</w:t>
      </w:r>
    </w:p>
    <w:p>
      <w:pPr>
        <w:spacing w:before="80" w:after="160"/>
        <w:jc w:val="center"/>
      </w:pPr>
      <w:r>
        <w:rPr>
          <w:rFonts w:ascii="Times New Roman" w:hAnsi="Times New Roman" w:cs="Times New Roman"/>
          <w:b/>
          <w:color w:val="122F5C"/>
          <w:sz w:val="22"/>
          <w:szCs w:val="22"/>
        </w:rPr>
        <w:t xml:space="preserve">Return on Equity = Net Profit Margin × Total Asset Turnover × Equity Multiplier</w:t>
      </w:r>
    </w:p>
    <w:p>
      <w:pPr>
        <w:keepNext/>
        <w:keepLines/>
        <w:spacing w:before="220" w:after="60"/>
      </w:pPr>
      <w:r>
        <w:rPr>
          <w:rFonts w:ascii="Arial" w:hAnsi="Arial" w:cs="Arial"/>
          <w:b/>
          <w:color w:val="E87A1E"/>
          <w:sz w:val="19"/>
          <w:szCs w:val="19"/>
        </w:rPr>
        <w:t xml:space="preserve">Table 6.7  </w:t>
      </w:r>
      <w:r>
        <w:rPr>
          <w:rFonts w:ascii="Arial" w:hAnsi="Arial" w:cs="Arial"/>
          <w:b/>
          <w:color w:val="122F5C"/>
          <w:sz w:val="19"/>
          <w:szCs w:val="19"/>
        </w:rPr>
        <w:t xml:space="preserve">DuPont decomposition of return on equity</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3270"/>
        <w:gridCol w:w="1731"/>
        <w:gridCol w:w="1731"/>
        <w:gridCol w:w="1731"/>
        <w:gridCol w:w="1155"/>
      </w:tblGrid>
      <w:tr>
        <w:trPr>
          <w:cantSplit/>
          <w:tblHeader/>
        </w:trPr>
        <w:tc>
          <w:tcPr>
            <w:tcW w:w="3270" w:type="dxa"/>
            <w:shd w:val="clear" w:color="auto" w:fill="122F5C"/>
            <w:vAlign w:val="center"/>
          </w:tcPr>
          <w:p>
            <w:pPr>
              <w:spacing w:before="0" w:after="0"/>
              <w:jc w:val="left"/>
            </w:pPr>
            <w:r>
              <w:rPr>
                <w:rFonts w:ascii="Arial" w:hAnsi="Arial" w:cs="Arial"/>
                <w:b/>
                <w:color w:val="FFFFFF"/>
                <w:sz w:val="18"/>
                <w:szCs w:val="18"/>
              </w:rPr>
              <w:t xml:space="preserve">Component</w:t>
            </w:r>
          </w:p>
        </w:tc>
        <w:tc>
          <w:tcPr>
            <w:tcW w:w="1731" w:type="dxa"/>
            <w:shd w:val="clear" w:color="auto" w:fill="122F5C"/>
            <w:vAlign w:val="center"/>
          </w:tcPr>
          <w:p>
            <w:pPr>
              <w:spacing w:before="0" w:after="0"/>
              <w:jc w:val="right"/>
            </w:pPr>
            <w:r>
              <w:rPr>
                <w:rFonts w:ascii="Arial" w:hAnsi="Arial" w:cs="Arial"/>
                <w:b/>
                <w:color w:val="FFFFFF"/>
                <w:sz w:val="18"/>
                <w:szCs w:val="18"/>
              </w:rPr>
              <w:t xml:space="preserve">FY 2023-24</w:t>
            </w:r>
          </w:p>
        </w:tc>
        <w:tc>
          <w:tcPr>
            <w:tcW w:w="1731" w:type="dxa"/>
            <w:shd w:val="clear" w:color="auto" w:fill="122F5C"/>
            <w:vAlign w:val="center"/>
          </w:tcPr>
          <w:p>
            <w:pPr>
              <w:spacing w:before="0" w:after="0"/>
              <w:jc w:val="right"/>
            </w:pPr>
            <w:r>
              <w:rPr>
                <w:rFonts w:ascii="Arial" w:hAnsi="Arial" w:cs="Arial"/>
                <w:b/>
                <w:color w:val="FFFFFF"/>
                <w:sz w:val="18"/>
                <w:szCs w:val="18"/>
              </w:rPr>
              <w:t xml:space="preserve">FY 2024-25</w:t>
            </w:r>
          </w:p>
        </w:tc>
        <w:tc>
          <w:tcPr>
            <w:tcW w:w="1731" w:type="dxa"/>
            <w:shd w:val="clear" w:color="auto" w:fill="122F5C"/>
            <w:vAlign w:val="center"/>
          </w:tcPr>
          <w:p>
            <w:pPr>
              <w:spacing w:before="0" w:after="0"/>
              <w:jc w:val="right"/>
            </w:pPr>
            <w:r>
              <w:rPr>
                <w:rFonts w:ascii="Arial" w:hAnsi="Arial" w:cs="Arial"/>
                <w:b/>
                <w:color w:val="FFFFFF"/>
                <w:sz w:val="18"/>
                <w:szCs w:val="18"/>
              </w:rPr>
              <w:t xml:space="preserve">FY 2025-26</w:t>
            </w:r>
          </w:p>
        </w:tc>
        <w:tc>
          <w:tcPr>
            <w:tcW w:w="1155" w:type="dxa"/>
            <w:shd w:val="clear" w:color="auto" w:fill="122F5C"/>
            <w:vAlign w:val="center"/>
          </w:tcPr>
          <w:p>
            <w:pPr>
              <w:spacing w:before="0" w:after="0"/>
              <w:jc w:val="center"/>
            </w:pPr>
            <w:r>
              <w:rPr>
                <w:rFonts w:ascii="Arial" w:hAnsi="Arial" w:cs="Arial"/>
                <w:b/>
                <w:color w:val="FFFFFF"/>
                <w:sz w:val="18"/>
                <w:szCs w:val="18"/>
              </w:rPr>
              <w:t xml:space="preserve">Direction</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Net Profit Margin (per cent)</w:t>
            </w:r>
          </w:p>
        </w:tc>
        <w:tc>
          <w:tcPr>
            <w:tcW w:w="1731"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3.27</w:t>
            </w:r>
          </w:p>
        </w:tc>
        <w:tc>
          <w:tcPr>
            <w:tcW w:w="1731"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6.41</w:t>
            </w:r>
          </w:p>
        </w:tc>
        <w:tc>
          <w:tcPr>
            <w:tcW w:w="1731"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8.63</w:t>
            </w:r>
          </w:p>
        </w:tc>
        <w:tc>
          <w:tcPr>
            <w:tcW w:w="1155"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Improving</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Total Asset Turnover (times)</w:t>
            </w:r>
          </w:p>
        </w:tc>
        <w:tc>
          <w:tcPr>
            <w:tcW w:w="1731"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2.41</w:t>
            </w:r>
          </w:p>
        </w:tc>
        <w:tc>
          <w:tcPr>
            <w:tcW w:w="1731"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2.69</w:t>
            </w:r>
          </w:p>
        </w:tc>
        <w:tc>
          <w:tcPr>
            <w:tcW w:w="1731"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2.67</w:t>
            </w:r>
          </w:p>
        </w:tc>
        <w:tc>
          <w:tcPr>
            <w:tcW w:w="1155"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8"/>
                <w:szCs w:val="18"/>
              </w:rPr>
              <w:t xml:space="preserve">Stable</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Equity Multiplier (times)</w:t>
            </w:r>
          </w:p>
        </w:tc>
        <w:tc>
          <w:tcPr>
            <w:tcW w:w="1731"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2.69</w:t>
            </w:r>
          </w:p>
        </w:tc>
        <w:tc>
          <w:tcPr>
            <w:tcW w:w="1731"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2.27</w:t>
            </w:r>
          </w:p>
        </w:tc>
        <w:tc>
          <w:tcPr>
            <w:tcW w:w="1731"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1.88</w:t>
            </w:r>
          </w:p>
        </w:tc>
        <w:tc>
          <w:tcPr>
            <w:tcW w:w="1155"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8"/>
                <w:szCs w:val="18"/>
              </w:rPr>
              <w:t xml:space="preserve">Falling</w:t>
            </w:r>
          </w:p>
        </w:tc>
      </w:tr>
      <w:tr>
        <w:trPr>
          <w:cantSplit/>
        </w:trPr>
        <w:tc>
          <w:tcPr>
            <w:tcW w:w="3270"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Return on Equity, reconstructed (per cent)</w:t>
            </w:r>
          </w:p>
        </w:tc>
        <w:tc>
          <w:tcPr>
            <w:tcW w:w="1731"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21.20</w:t>
            </w:r>
          </w:p>
        </w:tc>
        <w:tc>
          <w:tcPr>
            <w:tcW w:w="1731"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39.14</w:t>
            </w:r>
          </w:p>
        </w:tc>
        <w:tc>
          <w:tcPr>
            <w:tcW w:w="1731"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43.32</w:t>
            </w:r>
          </w:p>
        </w:tc>
        <w:tc>
          <w:tcPr>
            <w:tcW w:w="1155" w:type="dxa"/>
            <w:tcBorders>
              <w:bottom w:val="single" w:sz="2" w:space="0" w:color="E3E7EC"/>
            </w:tcBorders>
            <w:shd w:val="clear" w:color="auto" w:fill="D8E7F7"/>
          </w:tcPr>
          <w:p>
            <w:pPr>
              <w:spacing w:before="0" w:after="0" w:line="250" w:lineRule="auto"/>
              <w:jc w:val="center"/>
            </w:pPr>
            <w:r>
              <w:rPr>
                <w:rFonts w:ascii="Arial" w:hAnsi="Arial" w:cs="Arial"/>
                <w:b/>
                <w:color w:val="122F5C"/>
                <w:sz w:val="18"/>
                <w:szCs w:val="18"/>
              </w:rPr>
              <w:t xml:space="preserve">—</w:t>
            </w:r>
          </w:p>
        </w:tc>
      </w:tr>
      <w:tr>
        <w:trPr>
          <w:cantSplit/>
        </w:trPr>
        <w:tc>
          <w:tcPr>
            <w:tcW w:w="3270"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Return on Equity, computed directly (per cent)</w:t>
            </w:r>
          </w:p>
        </w:tc>
        <w:tc>
          <w:tcPr>
            <w:tcW w:w="1731"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21.21</w:t>
            </w:r>
          </w:p>
        </w:tc>
        <w:tc>
          <w:tcPr>
            <w:tcW w:w="1731"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39.09</w:t>
            </w:r>
          </w:p>
        </w:tc>
        <w:tc>
          <w:tcPr>
            <w:tcW w:w="1731"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43.18</w:t>
            </w:r>
          </w:p>
        </w:tc>
        <w:tc>
          <w:tcPr>
            <w:tcW w:w="1155" w:type="dxa"/>
            <w:tcBorders>
              <w:bottom w:val="single" w:sz="2" w:space="0" w:color="E3E7EC"/>
            </w:tcBorders>
            <w:shd w:val="clear" w:color="auto" w:fill="D8E7F7"/>
          </w:tcPr>
          <w:p>
            <w:pPr>
              <w:spacing w:before="0" w:after="0" w:line="250" w:lineRule="auto"/>
              <w:jc w:val="center"/>
            </w:pPr>
            <w:r>
              <w:rPr>
                <w:rFonts w:ascii="Arial" w:hAnsi="Arial" w:cs="Arial"/>
                <w:b/>
                <w:color w:val="122F5C"/>
                <w:sz w:val="18"/>
                <w:szCs w:val="18"/>
              </w:rPr>
              <w:t xml:space="preserve">—</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The two return on equity lines agree within rounding, which validates the decomposition.</w:t>
      </w:r>
    </w:p>
    <w:p>
      <w:pPr>
        <w:spacing w:before="80" w:after="80"/>
        <w:jc w:val="center"/>
      </w:pPr>
      <w:r>
        <w:drawing>
          <wp:inline distT="0" distB="0" distL="0" distR="0">
            <wp:extent cx="5308600" cy="3185160"/>
            <wp:docPr id="22" name="Picture 22"/>
            <a:graphic>
              <a:graphicData uri="http://schemas.openxmlformats.org/drawingml/2006/picture">
                <pic:pic>
                  <pic:nvPicPr>
                    <pic:cNvPr id="22" name="fig18_dupont.png"/>
                    <pic:cNvPicPr/>
                  </pic:nvPicPr>
                  <pic:blipFill>
                    <a:blip r:embed="rId121"/>
                    <a:stretch>
                      <a:fillRect/>
                    </a:stretch>
                  </pic:blipFill>
                  <pic:spPr>
                    <a:xfrm>
                      <a:off x="0" y="0"/>
                      <a:ext cx="5308600" cy="3185160"/>
                    </a:xfrm>
                    <a:prstGeom prst="rect">
                      <a:avLst/>
                    </a:prstGeom>
                  </pic:spPr>
                </pic:pic>
              </a:graphicData>
            </a:graphic>
          </wp:inline>
        </w:drawing>
      </w:r>
    </w:p>
    <w:p>
      <w:pPr>
        <w:spacing w:before="20" w:after="40"/>
        <w:jc w:val="center"/>
      </w:pPr>
      <w:r>
        <w:rPr>
          <w:rFonts w:ascii="Arial" w:hAnsi="Arial" w:cs="Arial"/>
          <w:b/>
          <w:color w:val="E87A1E"/>
          <w:sz w:val="18"/>
          <w:szCs w:val="18"/>
        </w:rPr>
        <w:t xml:space="preserve">Figure 6.6  </w:t>
      </w:r>
      <w:r>
        <w:rPr>
          <w:rFonts w:ascii="Arial" w:hAnsi="Arial" w:cs="Arial"/>
          <w:color w:val="444A55"/>
          <w:sz w:val="18"/>
          <w:szCs w:val="18"/>
        </w:rPr>
        <w:t xml:space="preserve">DuPont decomposition of return on equity</w:t>
      </w:r>
    </w:p>
    <w:p>
      <w:pPr>
        <w:spacing w:before="0" w:after="180"/>
        <w:jc w:val="center"/>
      </w:pPr>
      <w:r>
        <w:rPr>
          <w:rFonts w:ascii="Times New Roman" w:hAnsi="Times New Roman" w:cs="Times New Roman"/>
          <w:i/>
          <w:color w:val="8A919C"/>
          <w:sz w:val="16"/>
          <w:szCs w:val="16"/>
        </w:rPr>
        <w:t xml:space="preserve">Computed from Table 6.7.</w:t>
      </w:r>
    </w:p>
    <w:p>
      <w:pPr>
        <w:spacing w:before="0" w:after="130" w:line="264" w:lineRule="auto"/>
        <w:jc w:val="both"/>
      </w:pPr>
      <w:r>
        <w:rPr>
          <w:rFonts w:ascii="Times New Roman" w:hAnsi="Times New Roman" w:cs="Times New Roman"/>
          <w:color w:val="1A1A1A"/>
          <w:sz w:val="21"/>
          <w:szCs w:val="21"/>
        </w:rPr>
        <w:t xml:space="preserve">This is the most important table in the chapter. Return on equity roughly doubled, from 21.21 per cent to 43.18 per cent. The natural suspicion in any such case is that the improvement was manufactured by leverage. The decomposition shows the opposite. The equity multiplier </w:t>
      </w:r>
      <w:r>
        <w:rPr>
          <w:rFonts w:ascii="Times New Roman" w:hAnsi="Times New Roman" w:cs="Times New Roman"/>
          <w:i/>
          <w:color w:val="1A1A1A"/>
          <w:sz w:val="21"/>
          <w:szCs w:val="21"/>
        </w:rPr>
        <w:t xml:space="preserve">fell</w:t>
      </w:r>
      <w:r>
        <w:rPr>
          <w:rFonts w:ascii="Times New Roman" w:hAnsi="Times New Roman" w:cs="Times New Roman"/>
          <w:color w:val="1A1A1A"/>
          <w:sz w:val="21"/>
          <w:szCs w:val="21"/>
        </w:rPr>
        <w:t xml:space="preserve"> from 2.69 to 1.88 times, which by itself would have </w:t>
      </w:r>
      <w:r>
        <w:rPr>
          <w:rFonts w:ascii="Times New Roman" w:hAnsi="Times New Roman" w:cs="Times New Roman"/>
          <w:i/>
          <w:color w:val="1A1A1A"/>
          <w:sz w:val="21"/>
          <w:szCs w:val="21"/>
        </w:rPr>
        <w:t xml:space="preserve">reduced</w:t>
      </w:r>
      <w:r>
        <w:rPr>
          <w:rFonts w:ascii="Times New Roman" w:hAnsi="Times New Roman" w:cs="Times New Roman"/>
          <w:color w:val="1A1A1A"/>
          <w:sz w:val="21"/>
          <w:szCs w:val="21"/>
        </w:rPr>
        <w:t xml:space="preserve"> return on equity. Total asset turnover was essentially flat. The entire improvement, and more, came from the net profit margin rising from 3.27 per cent to 8.63 per cent.</w:t>
      </w:r>
    </w:p>
    <w:p>
      <w:pPr>
        <w:spacing w:before="0" w:after="130" w:line="264" w:lineRule="auto"/>
        <w:jc w:val="both"/>
      </w:pPr>
      <w:r>
        <w:rPr>
          <w:rFonts w:ascii="Times New Roman" w:hAnsi="Times New Roman" w:cs="Times New Roman"/>
          <w:color w:val="1A1A1A"/>
          <w:sz w:val="21"/>
          <w:szCs w:val="21"/>
        </w:rPr>
        <w:t xml:space="preserve">The conclusion is that the return on equity of this business has improved for the best possible reason — it became more profitable on each rupee of sales — while simultaneously becoming less risky. Few results in a three-year analysis are as unambiguous as this one.</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6.9  Summary of the Ratio Analysis</w:t>
      </w:r>
    </w:p>
    <w:p>
      <w:pPr>
        <w:keepNext/>
        <w:keepLines/>
        <w:spacing w:before="220" w:after="60"/>
      </w:pPr>
      <w:r>
        <w:rPr>
          <w:rFonts w:ascii="Arial" w:hAnsi="Arial" w:cs="Arial"/>
          <w:b/>
          <w:color w:val="E87A1E"/>
          <w:sz w:val="19"/>
          <w:szCs w:val="19"/>
        </w:rPr>
        <w:t xml:space="preserve">Table 6.8  </w:t>
      </w:r>
      <w:r>
        <w:rPr>
          <w:rFonts w:ascii="Arial" w:hAnsi="Arial" w:cs="Arial"/>
          <w:b/>
          <w:color w:val="122F5C"/>
          <w:sz w:val="19"/>
          <w:szCs w:val="19"/>
        </w:rPr>
        <w:t xml:space="preserve">Consolidated assessment of financial position</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1923"/>
        <w:gridCol w:w="2115"/>
        <w:gridCol w:w="1346"/>
        <w:gridCol w:w="4234"/>
      </w:tblGrid>
      <w:tr>
        <w:trPr>
          <w:cantSplit/>
          <w:tblHeader/>
        </w:trPr>
        <w:tc>
          <w:tcPr>
            <w:tcW w:w="1923" w:type="dxa"/>
            <w:shd w:val="clear" w:color="auto" w:fill="122F5C"/>
            <w:vAlign w:val="center"/>
          </w:tcPr>
          <w:p>
            <w:pPr>
              <w:spacing w:before="0" w:after="0"/>
              <w:jc w:val="left"/>
            </w:pPr>
            <w:r>
              <w:rPr>
                <w:rFonts w:ascii="Arial" w:hAnsi="Arial" w:cs="Arial"/>
                <w:b/>
                <w:color w:val="FFFFFF"/>
                <w:sz w:val="16"/>
                <w:szCs w:val="16"/>
              </w:rPr>
              <w:t xml:space="preserve">Dimension</w:t>
            </w:r>
          </w:p>
        </w:tc>
        <w:tc>
          <w:tcPr>
            <w:tcW w:w="2115" w:type="dxa"/>
            <w:shd w:val="clear" w:color="auto" w:fill="122F5C"/>
            <w:vAlign w:val="center"/>
          </w:tcPr>
          <w:p>
            <w:pPr>
              <w:spacing w:before="0" w:after="0"/>
              <w:jc w:val="left"/>
            </w:pPr>
            <w:r>
              <w:rPr>
                <w:rFonts w:ascii="Arial" w:hAnsi="Arial" w:cs="Arial"/>
                <w:b/>
                <w:color w:val="FFFFFF"/>
                <w:sz w:val="16"/>
                <w:szCs w:val="16"/>
              </w:rPr>
              <w:t xml:space="preserve">FY 2025-26 position</w:t>
            </w:r>
          </w:p>
        </w:tc>
        <w:tc>
          <w:tcPr>
            <w:tcW w:w="1346" w:type="dxa"/>
            <w:shd w:val="clear" w:color="auto" w:fill="122F5C"/>
            <w:vAlign w:val="center"/>
          </w:tcPr>
          <w:p>
            <w:pPr>
              <w:spacing w:before="0" w:after="0"/>
              <w:jc w:val="center"/>
            </w:pPr>
            <w:r>
              <w:rPr>
                <w:rFonts w:ascii="Arial" w:hAnsi="Arial" w:cs="Arial"/>
                <w:b/>
                <w:color w:val="FFFFFF"/>
                <w:sz w:val="16"/>
                <w:szCs w:val="16"/>
              </w:rPr>
              <w:t xml:space="preserve">Trend</w:t>
            </w:r>
          </w:p>
        </w:tc>
        <w:tc>
          <w:tcPr>
            <w:tcW w:w="4234" w:type="dxa"/>
            <w:shd w:val="clear" w:color="auto" w:fill="122F5C"/>
            <w:vAlign w:val="center"/>
          </w:tcPr>
          <w:p>
            <w:pPr>
              <w:spacing w:before="0" w:after="0"/>
              <w:jc w:val="left"/>
            </w:pPr>
            <w:r>
              <w:rPr>
                <w:rFonts w:ascii="Arial" w:hAnsi="Arial" w:cs="Arial"/>
                <w:b/>
                <w:color w:val="FFFFFF"/>
                <w:sz w:val="16"/>
                <w:szCs w:val="16"/>
              </w:rPr>
              <w:t xml:space="preserve">Assessment</w:t>
            </w:r>
          </w:p>
        </w:tc>
      </w:tr>
      <w:tr>
        <w:trPr>
          <w:cantSplit/>
        </w:trPr>
        <w:tc>
          <w:tcPr>
            <w:tcW w:w="192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Liquidity</w:t>
            </w:r>
          </w:p>
        </w:tc>
        <w:tc>
          <w:tcPr>
            <w:tcW w:w="211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Current 1.88, quick 1.72</w:t>
            </w:r>
          </w:p>
        </w:tc>
        <w:tc>
          <w:tcPr>
            <w:tcW w:w="1346"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Improving</w:t>
            </w:r>
          </w:p>
        </w:tc>
        <w:tc>
          <w:tcPr>
            <w:tcW w:w="4234"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Adequate once the absence of inventory and the advance-fee character of current liabilities are allowed for</w:t>
            </w:r>
          </w:p>
        </w:tc>
      </w:tr>
      <w:tr>
        <w:trPr>
          <w:cantSplit/>
        </w:trPr>
        <w:tc>
          <w:tcPr>
            <w:tcW w:w="192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Profitability</w:t>
            </w:r>
          </w:p>
        </w:tc>
        <w:tc>
          <w:tcPr>
            <w:tcW w:w="211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Net margin 8.63 per cent</w:t>
            </w:r>
          </w:p>
        </w:tc>
        <w:tc>
          <w:tcPr>
            <w:tcW w:w="1346"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Improving</w:t>
            </w:r>
          </w:p>
        </w:tc>
        <w:tc>
          <w:tcPr>
            <w:tcW w:w="4234"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Strong and progressive; driven by overhead absorption rather than by price increases</w:t>
            </w:r>
          </w:p>
        </w:tc>
      </w:tr>
      <w:tr>
        <w:trPr>
          <w:cantSplit/>
        </w:trPr>
        <w:tc>
          <w:tcPr>
            <w:tcW w:w="192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Solvency</w:t>
            </w:r>
          </w:p>
        </w:tc>
        <w:tc>
          <w:tcPr>
            <w:tcW w:w="211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Debt-equity 0.26, cover 16.44</w:t>
            </w:r>
          </w:p>
        </w:tc>
        <w:tc>
          <w:tcPr>
            <w:tcW w:w="1346"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Improving</w:t>
            </w:r>
          </w:p>
        </w:tc>
        <w:tc>
          <w:tcPr>
            <w:tcW w:w="4234"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Very comfortable; arguably more conservative than the return on capital employed warrants</w:t>
            </w:r>
          </w:p>
        </w:tc>
      </w:tr>
      <w:tr>
        <w:trPr>
          <w:cantSplit/>
        </w:trPr>
        <w:tc>
          <w:tcPr>
            <w:tcW w:w="192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Activity</w:t>
            </w:r>
          </w:p>
        </w:tc>
        <w:tc>
          <w:tcPr>
            <w:tcW w:w="211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Asset turnover 2.67 times</w:t>
            </w:r>
          </w:p>
        </w:tc>
        <w:tc>
          <w:tcPr>
            <w:tcW w:w="1346"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Stable</w:t>
            </w:r>
          </w:p>
        </w:tc>
        <w:tc>
          <w:tcPr>
            <w:tcW w:w="4234"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Efficient asset use characteristic of an asset-light model</w:t>
            </w:r>
          </w:p>
        </w:tc>
      </w:tr>
      <w:tr>
        <w:trPr>
          <w:cantSplit/>
        </w:trPr>
        <w:tc>
          <w:tcPr>
            <w:tcW w:w="192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Working capital</w:t>
            </w:r>
          </w:p>
        </w:tc>
        <w:tc>
          <w:tcPr>
            <w:tcW w:w="211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Cycle -28.4 days</w:t>
            </w:r>
          </w:p>
        </w:tc>
        <w:tc>
          <w:tcPr>
            <w:tcW w:w="1346"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Favourable</w:t>
            </w:r>
          </w:p>
        </w:tc>
        <w:tc>
          <w:tcPr>
            <w:tcW w:w="4234"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Structurally advantageous but dependent on continued vendor accommodation</w:t>
            </w:r>
          </w:p>
        </w:tc>
      </w:tr>
      <w:tr>
        <w:trPr>
          <w:cantSplit/>
        </w:trPr>
        <w:tc>
          <w:tcPr>
            <w:tcW w:w="1923"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Cash generation</w:t>
            </w:r>
          </w:p>
        </w:tc>
        <w:tc>
          <w:tcPr>
            <w:tcW w:w="211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Operating cash ₹ 18.61 L</w:t>
            </w:r>
          </w:p>
        </w:tc>
        <w:tc>
          <w:tcPr>
            <w:tcW w:w="1346"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Improving</w:t>
            </w:r>
          </w:p>
        </w:tc>
        <w:tc>
          <w:tcPr>
            <w:tcW w:w="4234"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Exceeds profit after tax; the strongest single indicator in the accounts</w:t>
            </w:r>
          </w:p>
        </w:tc>
      </w:tr>
      <w:tr>
        <w:trPr>
          <w:cantSplit/>
        </w:trPr>
        <w:tc>
          <w:tcPr>
            <w:tcW w:w="1923"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Receivables</w:t>
            </w:r>
          </w:p>
        </w:tc>
        <w:tc>
          <w:tcPr>
            <w:tcW w:w="211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Debtors ₹ 23.10 L</w:t>
            </w:r>
          </w:p>
        </w:tc>
        <w:tc>
          <w:tcPr>
            <w:tcW w:w="1346"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Watch</w:t>
            </w:r>
          </w:p>
        </w:tc>
        <w:tc>
          <w:tcPr>
            <w:tcW w:w="4234"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The one genuine area of concern, because the balance arises from a sixth of revenue</w:t>
            </w:r>
          </w:p>
        </w:tc>
      </w:tr>
    </w:tbl>
    <w:p>
      <w:pPr>
        <w:spacing w:before="0" w:after="0"/>
      </w:pPr>
      <w:r>
        <w:rPr>
          <w:sz w:val="16"/>
        </w:rPr>
        <w:t/>
      </w:r>
    </w:p>
    <w:p>
      <w:r>
        <w:br w:type="page"/>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0" w:type="dxa"/>
          <w:left w:w="160" w:type="dxa"/>
          <w:bottom w:w="140" w:type="dxa"/>
          <w:right w:w="120" w:type="dxa"/>
        </w:tblCellMar>
      </w:tblPr>
      <w:tblGrid>
        <w:gridCol w:w="1731"/>
        <w:gridCol w:w="7887"/>
      </w:tblGrid>
      <w:tr>
        <w:trPr>
          <w:cantSplit/>
        </w:trPr>
        <w:tc>
          <w:tcPr>
            <w:tcW w:w="1731" w:type="dxa"/>
            <w:shd w:val="clear" w:color="auto" w:fill="122F5C"/>
            <w:vAlign w:val="center"/>
          </w:tcPr>
          <w:p>
            <w:pPr>
              <w:spacing w:before="0" w:after="20"/>
            </w:pPr>
            <w:r>
              <w:rPr>
                <w:rFonts w:ascii="Arial" w:hAnsi="Arial" w:cs="Arial"/>
                <w:b/>
                <w:color w:val="4F9EE3"/>
                <w:spacing w:val="60"/>
                <w:sz w:val="16"/>
                <w:szCs w:val="16"/>
              </w:rPr>
              <w:t xml:space="preserve">CHAPTER</w:t>
            </w:r>
          </w:p>
          <w:p>
            <w:pPr>
              <w:spacing w:before="0" w:after="0"/>
            </w:pPr>
            <w:r>
              <w:rPr>
                <w:rFonts w:ascii="Arial" w:hAnsi="Arial" w:cs="Arial"/>
                <w:b/>
                <w:color w:val="E87A1E"/>
                <w:sz w:val="62"/>
                <w:szCs w:val="62"/>
              </w:rPr>
              <w:t xml:space="preserve">7</w:t>
            </w:r>
          </w:p>
        </w:tc>
        <w:tc>
          <w:tcPr>
            <w:tcW w:w="7887" w:type="dxa"/>
            <w:shd w:val="clear" w:color="auto" w:fill="122F5C"/>
            <w:vAlign w:val="center"/>
          </w:tcPr>
          <w:p>
            <w:pPr>
              <w:spacing w:before="60" w:after="0"/>
            </w:pPr>
            <w:r>
              <w:rPr>
                <w:rFonts w:ascii="Arial" w:hAnsi="Arial" w:cs="Arial"/>
                <w:b/>
                <w:color w:val="FFFFFF"/>
                <w:sz w:val="38"/>
                <w:szCs w:val="38"/>
              </w:rPr>
              <w:t xml:space="preserve">LEARNING OUTCOMES</w:t>
            </w:r>
          </w:p>
        </w:tc>
      </w:tr>
    </w:tbl>
    <w:p>
      <w:pPr>
        <w:pBdr>
          <w:bottom w:val="single" w:sz="18" w:space="2" w:color="E87A1E"/>
        </w:pBdr>
        <w:spacing w:before="0" w:after="0"/>
      </w:pPr>
    </w:p>
    <w:p>
      <w:pPr>
        <w:spacing w:before="140" w:after="160" w:line="280" w:lineRule="auto"/>
        <w:jc w:val="both"/>
      </w:pPr>
      <w:r>
        <w:rPr>
          <w:rFonts w:ascii="Times New Roman" w:hAnsi="Times New Roman" w:cs="Times New Roman"/>
          <w:i/>
          <w:color w:val="444A55"/>
          <w:sz w:val="21"/>
          <w:szCs w:val="21"/>
        </w:rPr>
        <w:t xml:space="preserve">What the internship actually taught, mapped against the objectives set out in Chapter One, and separated into technical, analytical, behavioural and professional learning.</w:t>
      </w:r>
    </w:p>
    <w:p>
      <w:pPr>
        <w:pBdr>
          <w:left w:val="single" w:sz="14" w:space="8" w:color="4F9EE3"/>
        </w:pBdr>
        <w:spacing w:before="120" w:after="180" w:line="288" w:lineRule="auto"/>
        <w:ind w:left="200" w:right="0" w:firstLine="0"/>
      </w:pPr>
      <w:r>
        <w:rPr>
          <w:rFonts w:ascii="Times New Roman" w:hAnsi="Times New Roman" w:cs="Times New Roman"/>
          <w:i/>
          <w:color w:val="1B4B8A"/>
          <w:sz w:val="24"/>
          <w:szCs w:val="24"/>
        </w:rPr>
        <w:t xml:space="preserve">The value of an internship is measured not by the tasks completed but by the difference between what the student believed before it and what the student can demonstrate after it.</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7.1  Achievement against the Stated Objectives</w:t>
      </w:r>
    </w:p>
    <w:p>
      <w:pPr>
        <w:spacing w:before="0" w:after="130" w:line="264" w:lineRule="auto"/>
        <w:jc w:val="both"/>
      </w:pPr>
      <w:r>
        <w:rPr>
          <w:rFonts w:ascii="Times New Roman" w:hAnsi="Times New Roman" w:cs="Times New Roman"/>
          <w:color w:val="1A1A1A"/>
          <w:sz w:val="21"/>
          <w:szCs w:val="21"/>
        </w:rPr>
        <w:t xml:space="preserve">Chapter One set one primary and seven secondary objectives. Each is reviewed below against the evidence produced in the report.</w:t>
      </w:r>
    </w:p>
    <w:p>
      <w:pPr>
        <w:keepNext/>
        <w:keepLines/>
        <w:spacing w:before="220" w:after="60"/>
      </w:pPr>
      <w:r>
        <w:rPr>
          <w:rFonts w:ascii="Arial" w:hAnsi="Arial" w:cs="Arial"/>
          <w:b/>
          <w:color w:val="E87A1E"/>
          <w:sz w:val="19"/>
          <w:szCs w:val="19"/>
        </w:rPr>
        <w:t xml:space="preserve">Table 7.1  </w:t>
      </w:r>
      <w:r>
        <w:rPr>
          <w:rFonts w:ascii="Arial" w:hAnsi="Arial" w:cs="Arial"/>
          <w:b/>
          <w:color w:val="122F5C"/>
          <w:sz w:val="19"/>
          <w:szCs w:val="19"/>
        </w:rPr>
        <w:t xml:space="preserve">Objectives and their achievement</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4231"/>
        <w:gridCol w:w="1346"/>
        <w:gridCol w:w="4041"/>
      </w:tblGrid>
      <w:tr>
        <w:trPr>
          <w:cantSplit/>
          <w:tblHeader/>
        </w:trPr>
        <w:tc>
          <w:tcPr>
            <w:tcW w:w="4231" w:type="dxa"/>
            <w:shd w:val="clear" w:color="auto" w:fill="122F5C"/>
            <w:vAlign w:val="center"/>
          </w:tcPr>
          <w:p>
            <w:pPr>
              <w:spacing w:before="0" w:after="0"/>
              <w:jc w:val="left"/>
            </w:pPr>
            <w:r>
              <w:rPr>
                <w:rFonts w:ascii="Arial" w:hAnsi="Arial" w:cs="Arial"/>
                <w:b/>
                <w:color w:val="FFFFFF"/>
                <w:sz w:val="17"/>
                <w:szCs w:val="17"/>
              </w:rPr>
              <w:t xml:space="preserve">Objective</w:t>
            </w:r>
          </w:p>
        </w:tc>
        <w:tc>
          <w:tcPr>
            <w:tcW w:w="1346" w:type="dxa"/>
            <w:shd w:val="clear" w:color="auto" w:fill="122F5C"/>
            <w:vAlign w:val="center"/>
          </w:tcPr>
          <w:p>
            <w:pPr>
              <w:spacing w:before="0" w:after="0"/>
              <w:jc w:val="center"/>
            </w:pPr>
            <w:r>
              <w:rPr>
                <w:rFonts w:ascii="Arial" w:hAnsi="Arial" w:cs="Arial"/>
                <w:b/>
                <w:color w:val="FFFFFF"/>
                <w:sz w:val="17"/>
                <w:szCs w:val="17"/>
              </w:rPr>
              <w:t xml:space="preserve">Status</w:t>
            </w:r>
          </w:p>
        </w:tc>
        <w:tc>
          <w:tcPr>
            <w:tcW w:w="4041" w:type="dxa"/>
            <w:shd w:val="clear" w:color="auto" w:fill="122F5C"/>
            <w:vAlign w:val="center"/>
          </w:tcPr>
          <w:p>
            <w:pPr>
              <w:spacing w:before="0" w:after="0"/>
              <w:jc w:val="left"/>
            </w:pPr>
            <w:r>
              <w:rPr>
                <w:rFonts w:ascii="Arial" w:hAnsi="Arial" w:cs="Arial"/>
                <w:b/>
                <w:color w:val="FFFFFF"/>
                <w:sz w:val="17"/>
                <w:szCs w:val="17"/>
              </w:rPr>
              <w:t xml:space="preserve">Evidence in this report</w:t>
            </w:r>
          </w:p>
        </w:tc>
      </w:tr>
      <w:tr>
        <w:trPr>
          <w:cantSplit/>
        </w:trPr>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Understand the finance function and its information flow</w:t>
            </w:r>
          </w:p>
        </w:tc>
        <w:tc>
          <w:tcPr>
            <w:tcW w:w="1346"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Achieved</w:t>
            </w:r>
          </w:p>
        </w:tc>
        <w:tc>
          <w:tcPr>
            <w:tcW w:w="404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Section 2.6 and the process note of Week One</w:t>
            </w:r>
          </w:p>
        </w:tc>
      </w:tr>
      <w:tr>
        <w:trPr>
          <w:cantSplit/>
        </w:trPr>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Examine books of account, vouchers and internal checks</w:t>
            </w:r>
          </w:p>
        </w:tc>
        <w:tc>
          <w:tcPr>
            <w:tcW w:w="1346"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7"/>
                <w:szCs w:val="17"/>
              </w:rPr>
              <w:t xml:space="preserve">Achieved</w:t>
            </w:r>
          </w:p>
        </w:tc>
        <w:tc>
          <w:tcPr>
            <w:tcW w:w="404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Section 3.4 and the internal control checklist</w:t>
            </w:r>
          </w:p>
        </w:tc>
      </w:tr>
      <w:tr>
        <w:trPr>
          <w:cantSplit/>
        </w:trPr>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Analyse revenue and cost composition and behaviour</w:t>
            </w:r>
          </w:p>
        </w:tc>
        <w:tc>
          <w:tcPr>
            <w:tcW w:w="1346"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Achieved</w:t>
            </w:r>
          </w:p>
        </w:tc>
        <w:tc>
          <w:tcPr>
            <w:tcW w:w="404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Sections 4.2 to 4.3 and Tables 4.1 to 4.3</w:t>
            </w:r>
          </w:p>
        </w:tc>
      </w:tr>
      <w:tr>
        <w:trPr>
          <w:cantSplit/>
        </w:trPr>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Evaluate budgeting and quantify variances</w:t>
            </w:r>
          </w:p>
        </w:tc>
        <w:tc>
          <w:tcPr>
            <w:tcW w:w="1346"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7"/>
                <w:szCs w:val="17"/>
              </w:rPr>
              <w:t xml:space="preserve">Achieved</w:t>
            </w:r>
          </w:p>
        </w:tc>
        <w:tc>
          <w:tcPr>
            <w:tcW w:w="404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Sections 5.1 to 5.3 and Table 5.2</w:t>
            </w:r>
          </w:p>
        </w:tc>
      </w:tr>
      <w:tr>
        <w:trPr>
          <w:cantSplit/>
        </w:trPr>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Compute and interpret ratios over three years</w:t>
            </w:r>
          </w:p>
        </w:tc>
        <w:tc>
          <w:tcPr>
            <w:tcW w:w="1346"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Achieved</w:t>
            </w:r>
          </w:p>
        </w:tc>
        <w:tc>
          <w:tcPr>
            <w:tcW w:w="404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Chapter Six, Tables 6.1 to 6.8</w:t>
            </w:r>
          </w:p>
        </w:tc>
      </w:tr>
      <w:tr>
        <w:trPr>
          <w:cantSplit/>
        </w:trPr>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Segregate costs and derive break-even and margin of safety</w:t>
            </w:r>
          </w:p>
        </w:tc>
        <w:tc>
          <w:tcPr>
            <w:tcW w:w="1346"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7"/>
                <w:szCs w:val="17"/>
              </w:rPr>
              <w:t xml:space="preserve">Achieved</w:t>
            </w:r>
          </w:p>
        </w:tc>
        <w:tc>
          <w:tcPr>
            <w:tcW w:w="404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Sections 5.4 to 5.5 and Tables 5.4 to 5.5</w:t>
            </w:r>
          </w:p>
        </w:tc>
      </w:tr>
      <w:tr>
        <w:trPr>
          <w:cantSplit/>
        </w:trPr>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Identify weaknesses and frame suggestions</w:t>
            </w:r>
          </w:p>
        </w:tc>
        <w:tc>
          <w:tcPr>
            <w:tcW w:w="1346"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Achieved</w:t>
            </w:r>
          </w:p>
        </w:tc>
        <w:tc>
          <w:tcPr>
            <w:tcW w:w="404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Chapter Nine</w:t>
            </w:r>
          </w:p>
        </w:tc>
      </w:tr>
      <w:tr>
        <w:trPr>
          <w:cantSplit/>
        </w:trPr>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Compare performance against industry averages</w:t>
            </w:r>
          </w:p>
        </w:tc>
        <w:tc>
          <w:tcPr>
            <w:tcW w:w="1346"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7"/>
                <w:szCs w:val="17"/>
              </w:rPr>
              <w:t xml:space="preserve">Not achieved</w:t>
            </w:r>
          </w:p>
        </w:tc>
        <w:tc>
          <w:tcPr>
            <w:tcW w:w="404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Published benchmarks for this sector do not exist; recorded as a limitation in Section 1.8</w:t>
            </w:r>
          </w:p>
        </w:tc>
      </w:tr>
    </w:tbl>
    <w:p>
      <w:pPr>
        <w:spacing w:before="0" w:after="0"/>
      </w:pPr>
      <w:r>
        <w:rPr>
          <w:sz w:val="16"/>
        </w:rPr>
        <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7.2  Technical Learning</w:t>
      </w:r>
    </w:p>
    <w:p>
      <w:pPr>
        <w:keepNext/>
        <w:keepLines/>
        <w:pBdr>
          <w:left w:val="single" w:sz="8" w:space="6" w:color="C8CED6"/>
        </w:pBdr>
        <w:spacing w:before="140" w:after="40"/>
        <w:ind w:left="200" w:right="0" w:firstLine="0"/>
      </w:pPr>
      <w:r>
        <w:rPr>
          <w:rFonts w:ascii="Arial" w:hAnsi="Arial" w:cs="Arial"/>
          <w:b/>
          <w:color w:val="1B4B8A"/>
          <w:sz w:val="19"/>
          <w:szCs w:val="19"/>
        </w:rPr>
        <w:t xml:space="preserve">Revenue recognition in practice</w:t>
      </w:r>
    </w:p>
    <w:p>
      <w:pPr>
        <w:spacing w:before="0" w:after="120" w:line="264" w:lineRule="auto"/>
        <w:ind w:left="200" w:right="0" w:firstLine="0"/>
        <w:jc w:val="both"/>
      </w:pPr>
      <w:r>
        <w:rPr>
          <w:rFonts w:ascii="Times New Roman" w:hAnsi="Times New Roman" w:cs="Times New Roman"/>
          <w:color w:val="1A1A1A"/>
          <w:sz w:val="21"/>
          <w:szCs w:val="21"/>
        </w:rPr>
        <w:t xml:space="preserve">The gateway reconciliation of Week Two established a principle that had previously been abstract: revenue is recognised gross and the intermediary's commission is an expense. Netting the two would understate turnover and cost simultaneously and would distort the profit-volume ratio. The rule was familiar; the reason for it became clear only when applied.</w:t>
      </w:r>
    </w:p>
    <w:p>
      <w:pPr>
        <w:keepNext/>
        <w:keepLines/>
        <w:pBdr>
          <w:left w:val="single" w:sz="8" w:space="6" w:color="C8CED6"/>
        </w:pBdr>
        <w:spacing w:before="140" w:after="40"/>
        <w:ind w:left="200" w:right="0" w:firstLine="0"/>
      </w:pPr>
      <w:r>
        <w:rPr>
          <w:rFonts w:ascii="Arial" w:hAnsi="Arial" w:cs="Arial"/>
          <w:b/>
          <w:color w:val="1B4B8A"/>
          <w:sz w:val="19"/>
          <w:szCs w:val="19"/>
        </w:rPr>
        <w:t xml:space="preserve">The difference between a cost and a payment</w:t>
      </w:r>
    </w:p>
    <w:p>
      <w:pPr>
        <w:spacing w:before="0" w:after="120" w:line="264" w:lineRule="auto"/>
        <w:ind w:left="200" w:right="0" w:firstLine="0"/>
        <w:jc w:val="both"/>
      </w:pPr>
      <w:r>
        <w:rPr>
          <w:rFonts w:ascii="Times New Roman" w:hAnsi="Times New Roman" w:cs="Times New Roman"/>
          <w:color w:val="1A1A1A"/>
          <w:sz w:val="21"/>
          <w:szCs w:val="21"/>
        </w:rPr>
        <w:t xml:space="preserve">Mentor honoraria are incurred when a cohort is delivered but paid weeks later. Learning to record the first and track the second separately is the whole of accrual accounting, and it explains why the cash flow statement of Section 4.6 begins with profit and then adjusts it.</w:t>
      </w:r>
    </w:p>
    <w:p>
      <w:pPr>
        <w:keepNext/>
        <w:keepLines/>
        <w:pBdr>
          <w:left w:val="single" w:sz="8" w:space="6" w:color="C8CED6"/>
        </w:pBdr>
        <w:spacing w:before="140" w:after="40"/>
        <w:ind w:left="200" w:right="0" w:firstLine="0"/>
      </w:pPr>
      <w:r>
        <w:rPr>
          <w:rFonts w:ascii="Arial" w:hAnsi="Arial" w:cs="Arial"/>
          <w:b/>
          <w:color w:val="1B4B8A"/>
          <w:sz w:val="19"/>
          <w:szCs w:val="19"/>
        </w:rPr>
        <w:t xml:space="preserve">Cost segregation as judgement, not arithmetic</w:t>
      </w:r>
    </w:p>
    <w:p>
      <w:pPr>
        <w:spacing w:before="0" w:after="120" w:line="264" w:lineRule="auto"/>
        <w:ind w:left="200" w:right="0" w:firstLine="0"/>
        <w:jc w:val="both"/>
      </w:pPr>
      <w:r>
        <w:rPr>
          <w:rFonts w:ascii="Times New Roman" w:hAnsi="Times New Roman" w:cs="Times New Roman"/>
          <w:color w:val="1A1A1A"/>
          <w:sz w:val="21"/>
          <w:szCs w:val="21"/>
        </w:rPr>
        <w:t xml:space="preserve">No textbook problem requires the analyst to decide what proportion of marketing is variable. Doing so for a real expense head, and then testing how much the break-even point moves as that judgement changes, was the most useful single exercise of the internship.</w:t>
      </w:r>
    </w:p>
    <w:p>
      <w:pPr>
        <w:keepNext/>
        <w:keepLines/>
        <w:pBdr>
          <w:left w:val="single" w:sz="8" w:space="6" w:color="C8CED6"/>
        </w:pBdr>
        <w:spacing w:before="140" w:after="40"/>
        <w:ind w:left="200" w:right="0" w:firstLine="0"/>
      </w:pPr>
      <w:r>
        <w:rPr>
          <w:rFonts w:ascii="Arial" w:hAnsi="Arial" w:cs="Arial"/>
          <w:b/>
          <w:color w:val="1B4B8A"/>
          <w:sz w:val="19"/>
          <w:szCs w:val="19"/>
        </w:rPr>
        <w:t xml:space="preserve">Ratio basis matters as much as ratio value</w:t>
      </w:r>
    </w:p>
    <w:p>
      <w:pPr>
        <w:spacing w:before="0" w:after="120" w:line="264" w:lineRule="auto"/>
        <w:ind w:left="200" w:right="0" w:firstLine="0"/>
        <w:jc w:val="both"/>
      </w:pPr>
      <w:r>
        <w:rPr>
          <w:rFonts w:ascii="Times New Roman" w:hAnsi="Times New Roman" w:cs="Times New Roman"/>
          <w:color w:val="1A1A1A"/>
          <w:sz w:val="21"/>
          <w:szCs w:val="21"/>
        </w:rPr>
        <w:t xml:space="preserve">Computing debtor days on total revenue and again on credit sales only produced 34.0 days and roughly 209 days from the same balance sheet. The lesson is that a ratio reported without its basis is not information.</w:t>
      </w:r>
    </w:p>
    <w:p>
      <w:pPr>
        <w:keepNext/>
        <w:keepLines/>
        <w:pBdr>
          <w:left w:val="single" w:sz="8" w:space="6" w:color="C8CED6"/>
        </w:pBdr>
        <w:spacing w:before="140" w:after="40"/>
        <w:ind w:left="200" w:right="0" w:firstLine="0"/>
      </w:pPr>
      <w:r>
        <w:rPr>
          <w:rFonts w:ascii="Arial" w:hAnsi="Arial" w:cs="Arial"/>
          <w:b/>
          <w:color w:val="1B4B8A"/>
          <w:sz w:val="19"/>
          <w:szCs w:val="19"/>
        </w:rPr>
        <w:t xml:space="preserve">Reconciliation as a control</w:t>
      </w:r>
    </w:p>
    <w:p>
      <w:pPr>
        <w:spacing w:before="0" w:after="120" w:line="264" w:lineRule="auto"/>
        <w:ind w:left="200" w:right="0" w:firstLine="0"/>
        <w:jc w:val="both"/>
      </w:pPr>
      <w:r>
        <w:rPr>
          <w:rFonts w:ascii="Times New Roman" w:hAnsi="Times New Roman" w:cs="Times New Roman"/>
          <w:color w:val="1A1A1A"/>
          <w:sz w:val="21"/>
          <w:szCs w:val="21"/>
        </w:rPr>
        <w:t xml:space="preserve">The three unreconciled gateway items of Section 3.4 were individually trivial and collectively instructive: a reconciliation is not a clerical formality but the mechanism by which errors are detected at all.</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7.3  Analytical Learning</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1.</w:t>
      </w:r>
      <w:r>
        <w:tab/>
      </w:r>
      <w:r>
        <w:rPr>
          <w:rFonts w:ascii="Times New Roman" w:hAnsi="Times New Roman" w:cs="Times New Roman"/>
          <w:b/>
          <w:color w:val="1A1A1A"/>
          <w:sz w:val="21"/>
          <w:szCs w:val="21"/>
        </w:rPr>
        <w:t xml:space="preserve">A favourable bottom line can conceal adverse control.</w:t>
      </w:r>
      <w:r>
        <w:rPr>
          <w:rFonts w:ascii="Times New Roman" w:hAnsi="Times New Roman" w:cs="Times New Roman"/>
          <w:color w:val="1A1A1A"/>
          <w:sz w:val="21"/>
          <w:szCs w:val="21"/>
        </w:rPr>
        <w:t xml:space="preserve"> Profit before tax exceeded budget by 28.65 per cent, and three cost heads simultaneously overshot. Before this internship the first fact would have been reported and the second missed.</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2.</w:t>
      </w:r>
      <w:r>
        <w:tab/>
      </w:r>
      <w:r>
        <w:rPr>
          <w:rFonts w:ascii="Times New Roman" w:hAnsi="Times New Roman" w:cs="Times New Roman"/>
          <w:b/>
          <w:color w:val="1A1A1A"/>
          <w:sz w:val="21"/>
          <w:szCs w:val="21"/>
        </w:rPr>
        <w:t xml:space="preserve">Decomposition changes conclusions.</w:t>
      </w:r>
      <w:r>
        <w:rPr>
          <w:rFonts w:ascii="Times New Roman" w:hAnsi="Times New Roman" w:cs="Times New Roman"/>
          <w:color w:val="1A1A1A"/>
          <w:sz w:val="21"/>
          <w:szCs w:val="21"/>
        </w:rPr>
        <w:t xml:space="preserve"> The DuPont analysis of Section 6.8 reversed the natural assumption about why return on equity had risen. Had the headline ratio been reported alone, the report would have been wrong about the cause while right about the number.</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3.</w:t>
      </w:r>
      <w:r>
        <w:tab/>
      </w:r>
      <w:r>
        <w:rPr>
          <w:rFonts w:ascii="Times New Roman" w:hAnsi="Times New Roman" w:cs="Times New Roman"/>
          <w:b/>
          <w:color w:val="1A1A1A"/>
          <w:sz w:val="21"/>
          <w:szCs w:val="21"/>
        </w:rPr>
        <w:t xml:space="preserve">Benchmarks are contextual.</w:t>
      </w:r>
      <w:r>
        <w:rPr>
          <w:rFonts w:ascii="Times New Roman" w:hAnsi="Times New Roman" w:cs="Times New Roman"/>
          <w:color w:val="1A1A1A"/>
          <w:sz w:val="21"/>
          <w:szCs w:val="21"/>
        </w:rPr>
        <w:t xml:space="preserve"> A current ratio of 1.88 against a 2:1 convention looks like a weakness until one notices that the convention assumes inventory and this business has none. Applying a benchmark without asking what it was designed to measure produces confident error.</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4.</w:t>
      </w:r>
      <w:r>
        <w:tab/>
      </w:r>
      <w:r>
        <w:rPr>
          <w:rFonts w:ascii="Times New Roman" w:hAnsi="Times New Roman" w:cs="Times New Roman"/>
          <w:b/>
          <w:color w:val="1A1A1A"/>
          <w:sz w:val="21"/>
          <w:szCs w:val="21"/>
        </w:rPr>
        <w:t xml:space="preserve">Seasonality is a financial fact, not an operational one.</w:t>
      </w:r>
      <w:r>
        <w:rPr>
          <w:rFonts w:ascii="Times New Roman" w:hAnsi="Times New Roman" w:cs="Times New Roman"/>
          <w:color w:val="1A1A1A"/>
          <w:sz w:val="21"/>
          <w:szCs w:val="21"/>
        </w:rPr>
        <w:t xml:space="preserve"> Annualising the third quarter's revenue of ₹ 41.20 lakh gives a run rate below the break-even sales of ₹ 174.76 lakh. The same company is loss-making in one quarter and comfortably profitable over the year, and only the combination of Section 4.2 with Section 5.5 reveals it.</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5.</w:t>
      </w:r>
      <w:r>
        <w:tab/>
      </w:r>
      <w:r>
        <w:rPr>
          <w:rFonts w:ascii="Times New Roman" w:hAnsi="Times New Roman" w:cs="Times New Roman"/>
          <w:b/>
          <w:color w:val="1A1A1A"/>
          <w:sz w:val="21"/>
          <w:szCs w:val="21"/>
        </w:rPr>
        <w:t xml:space="preserve">Leverage explains risk appetite.</w:t>
      </w:r>
      <w:r>
        <w:rPr>
          <w:rFonts w:ascii="Times New Roman" w:hAnsi="Times New Roman" w:cs="Times New Roman"/>
          <w:color w:val="1A1A1A"/>
          <w:sz w:val="21"/>
          <w:szCs w:val="21"/>
        </w:rPr>
        <w:t xml:space="preserve"> Operating leverage of 5.01 times made sense of a financing policy that had initially appeared excessively cautious. Two figures from different chapters, read together, produced an understanding neither gave alone.</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7.4  Behavioural and Interpersonal Learning</w:t>
      </w:r>
    </w:p>
    <w:p>
      <w:pPr>
        <w:pStyle w:val="ListBullet"/>
        <w:spacing w:before="0" w:after="90" w:line="264" w:lineRule="auto"/>
        <w:ind w:left="360" w:right="0" w:hanging="220"/>
        <w:jc w:val="both"/>
      </w:pPr>
      <w:r>
        <w:rPr>
          <w:rFonts w:ascii="Times New Roman" w:hAnsi="Times New Roman" w:cs="Times New Roman"/>
          <w:b/>
          <w:color w:val="1A1A1A"/>
          <w:sz w:val="21"/>
          <w:szCs w:val="21"/>
        </w:rPr>
        <w:t xml:space="preserve">Asking for data is a negotiation.</w:t>
      </w:r>
      <w:r>
        <w:rPr>
          <w:rFonts w:ascii="Times New Roman" w:hAnsi="Times New Roman" w:cs="Times New Roman"/>
          <w:color w:val="1A1A1A"/>
          <w:sz w:val="21"/>
          <w:szCs w:val="21"/>
        </w:rPr>
        <w:t xml:space="preserve"> Records are held by people with their own deadlines. Explaining why a schedule was needed, and accepting it in the form in which it existed rather than the form that would have been convenient, proved far more effective than repeating the request.</w:t>
      </w:r>
    </w:p>
    <w:p>
      <w:pPr>
        <w:pStyle w:val="ListBullet"/>
        <w:spacing w:before="0" w:after="90" w:line="264" w:lineRule="auto"/>
        <w:ind w:left="360" w:right="0" w:hanging="220"/>
        <w:jc w:val="both"/>
      </w:pPr>
      <w:r>
        <w:rPr>
          <w:rFonts w:ascii="Times New Roman" w:hAnsi="Times New Roman" w:cs="Times New Roman"/>
          <w:b/>
          <w:color w:val="1A1A1A"/>
          <w:sz w:val="21"/>
          <w:szCs w:val="21"/>
        </w:rPr>
        <w:t xml:space="preserve">Questions must be specific to be answerable.</w:t>
      </w:r>
      <w:r>
        <w:rPr>
          <w:rFonts w:ascii="Times New Roman" w:hAnsi="Times New Roman" w:cs="Times New Roman"/>
          <w:color w:val="1A1A1A"/>
          <w:sz w:val="21"/>
          <w:szCs w:val="21"/>
        </w:rPr>
        <w:t xml:space="preserve"> “How do you budget for marketing?” produced a general answer; “what was the basis of the ₹ 30.00 lakh provision?” produced the finding that it was a percentage of projected revenue, which became a recommendation.</w:t>
      </w:r>
    </w:p>
    <w:p>
      <w:pPr>
        <w:pStyle w:val="ListBullet"/>
        <w:spacing w:before="0" w:after="90" w:line="264" w:lineRule="auto"/>
        <w:ind w:left="360" w:right="0" w:hanging="220"/>
        <w:jc w:val="both"/>
      </w:pPr>
      <w:r>
        <w:rPr>
          <w:rFonts w:ascii="Times New Roman" w:hAnsi="Times New Roman" w:cs="Times New Roman"/>
          <w:b/>
          <w:color w:val="1A1A1A"/>
          <w:sz w:val="21"/>
          <w:szCs w:val="21"/>
        </w:rPr>
        <w:t xml:space="preserve">Criticism of a system is not criticism of a colleague.</w:t>
      </w:r>
      <w:r>
        <w:rPr>
          <w:rFonts w:ascii="Times New Roman" w:hAnsi="Times New Roman" w:cs="Times New Roman"/>
          <w:color w:val="1A1A1A"/>
          <w:sz w:val="21"/>
          <w:szCs w:val="21"/>
        </w:rPr>
        <w:t xml:space="preserve"> Presenting the marketing variance required care. Framing it as a gap in the measurement system rather than as an error by the function that spent the money kept the conversation open and produced better information.</w:t>
      </w:r>
    </w:p>
    <w:p>
      <w:pPr>
        <w:pStyle w:val="ListBullet"/>
        <w:spacing w:before="0" w:after="90" w:line="264" w:lineRule="auto"/>
        <w:ind w:left="360" w:right="0" w:hanging="220"/>
        <w:jc w:val="both"/>
      </w:pPr>
      <w:r>
        <w:rPr>
          <w:rFonts w:ascii="Times New Roman" w:hAnsi="Times New Roman" w:cs="Times New Roman"/>
          <w:b/>
          <w:color w:val="1A1A1A"/>
          <w:sz w:val="21"/>
          <w:szCs w:val="21"/>
        </w:rPr>
        <w:t xml:space="preserve">Deadlines in an operating business are not negotiable.</w:t>
      </w:r>
      <w:r>
        <w:rPr>
          <w:rFonts w:ascii="Times New Roman" w:hAnsi="Times New Roman" w:cs="Times New Roman"/>
          <w:color w:val="1A1A1A"/>
          <w:sz w:val="21"/>
          <w:szCs w:val="21"/>
        </w:rPr>
        <w:t xml:space="preserve"> Month-end compliance work does not wait for an intern's analysis. Scheduling requests around the finance function's own cycle was a practical lesson in professional courtesy.</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7.5  Professional and Personal Learning</w:t>
      </w:r>
    </w:p>
    <w:p>
      <w:pPr>
        <w:keepNext/>
        <w:keepLines/>
        <w:pBdr>
          <w:left w:val="single" w:sz="8" w:space="6" w:color="C8CED6"/>
        </w:pBdr>
        <w:spacing w:before="140" w:after="40"/>
        <w:ind w:left="200" w:right="0" w:firstLine="0"/>
      </w:pPr>
      <w:r>
        <w:rPr>
          <w:rFonts w:ascii="Arial" w:hAnsi="Arial" w:cs="Arial"/>
          <w:b/>
          <w:color w:val="1B4B8A"/>
          <w:sz w:val="19"/>
          <w:szCs w:val="19"/>
        </w:rPr>
        <w:t xml:space="preserve">Working to an owner and a frequency</w:t>
      </w:r>
    </w:p>
    <w:p>
      <w:pPr>
        <w:spacing w:before="0" w:after="120" w:line="264" w:lineRule="auto"/>
        <w:ind w:left="200" w:right="0" w:firstLine="0"/>
        <w:jc w:val="both"/>
      </w:pPr>
      <w:r>
        <w:rPr>
          <w:rFonts w:ascii="Times New Roman" w:hAnsi="Times New Roman" w:cs="Times New Roman"/>
          <w:color w:val="1A1A1A"/>
          <w:sz w:val="21"/>
          <w:szCs w:val="21"/>
        </w:rPr>
        <w:t xml:space="preserve">The mentor's criticism recorded in Section 3.9 — that a recommendation without an owner and a frequency is an opinion — changed the whole of Chapter Nine and will change how every future recommendation is written.</w:t>
      </w:r>
    </w:p>
    <w:p>
      <w:pPr>
        <w:keepNext/>
        <w:keepLines/>
        <w:pBdr>
          <w:left w:val="single" w:sz="8" w:space="6" w:color="C8CED6"/>
        </w:pBdr>
        <w:spacing w:before="140" w:after="40"/>
        <w:ind w:left="200" w:right="0" w:firstLine="0"/>
      </w:pPr>
      <w:r>
        <w:rPr>
          <w:rFonts w:ascii="Arial" w:hAnsi="Arial" w:cs="Arial"/>
          <w:b/>
          <w:color w:val="1B4B8A"/>
          <w:sz w:val="19"/>
          <w:szCs w:val="19"/>
        </w:rPr>
        <w:t xml:space="preserve">Documentation discipline</w:t>
      </w:r>
    </w:p>
    <w:p>
      <w:pPr>
        <w:spacing w:before="0" w:after="120" w:line="264" w:lineRule="auto"/>
        <w:ind w:left="200" w:right="0" w:firstLine="0"/>
        <w:jc w:val="both"/>
      </w:pPr>
      <w:r>
        <w:rPr>
          <w:rFonts w:ascii="Times New Roman" w:hAnsi="Times New Roman" w:cs="Times New Roman"/>
          <w:color w:val="1A1A1A"/>
          <w:sz w:val="21"/>
          <w:szCs w:val="21"/>
        </w:rPr>
        <w:t xml:space="preserve">Every derived figure in this report can be traced to a source line because the working papers were built that way from Week Two. The habit was adopted after an early figure could not be reproduced.</w:t>
      </w:r>
    </w:p>
    <w:p>
      <w:pPr>
        <w:keepNext/>
        <w:keepLines/>
        <w:pBdr>
          <w:left w:val="single" w:sz="8" w:space="6" w:color="C8CED6"/>
        </w:pBdr>
        <w:spacing w:before="140" w:after="40"/>
        <w:ind w:left="200" w:right="0" w:firstLine="0"/>
      </w:pPr>
      <w:r>
        <w:rPr>
          <w:rFonts w:ascii="Arial" w:hAnsi="Arial" w:cs="Arial"/>
          <w:b/>
          <w:color w:val="1B4B8A"/>
          <w:sz w:val="19"/>
          <w:szCs w:val="19"/>
        </w:rPr>
        <w:t xml:space="preserve">Intellectual honesty about limitations</w:t>
      </w:r>
    </w:p>
    <w:p>
      <w:pPr>
        <w:spacing w:before="0" w:after="120" w:line="264" w:lineRule="auto"/>
        <w:ind w:left="200" w:right="0" w:firstLine="0"/>
        <w:jc w:val="both"/>
      </w:pPr>
      <w:r>
        <w:rPr>
          <w:rFonts w:ascii="Times New Roman" w:hAnsi="Times New Roman" w:cs="Times New Roman"/>
          <w:color w:val="1A1A1A"/>
          <w:sz w:val="21"/>
          <w:szCs w:val="21"/>
        </w:rPr>
        <w:t xml:space="preserve">Stating plainly that industry benchmarks were unavailable, that the cost split was judgemental and that return ratios are understated on a closing-balance basis makes the report weaker in appearance and stronger in fact.</w:t>
      </w:r>
    </w:p>
    <w:p>
      <w:pPr>
        <w:keepNext/>
        <w:keepLines/>
        <w:pBdr>
          <w:left w:val="single" w:sz="8" w:space="6" w:color="C8CED6"/>
        </w:pBdr>
        <w:spacing w:before="140" w:after="40"/>
        <w:ind w:left="200" w:right="0" w:firstLine="0"/>
      </w:pPr>
      <w:r>
        <w:rPr>
          <w:rFonts w:ascii="Arial" w:hAnsi="Arial" w:cs="Arial"/>
          <w:b/>
          <w:color w:val="1B4B8A"/>
          <w:sz w:val="19"/>
          <w:szCs w:val="19"/>
        </w:rPr>
        <w:t xml:space="preserve">Confidence grounded in preparation</w:t>
      </w:r>
    </w:p>
    <w:p>
      <w:pPr>
        <w:spacing w:before="0" w:after="120" w:line="264" w:lineRule="auto"/>
        <w:ind w:left="200" w:right="0" w:firstLine="0"/>
        <w:jc w:val="both"/>
      </w:pPr>
      <w:r>
        <w:rPr>
          <w:rFonts w:ascii="Times New Roman" w:hAnsi="Times New Roman" w:cs="Times New Roman"/>
          <w:color w:val="1A1A1A"/>
          <w:sz w:val="21"/>
          <w:szCs w:val="21"/>
        </w:rPr>
        <w:t xml:space="preserve">Presenting findings to management was uncomfortable until it became clear that every number could be defended. Confidence in a professional setting is a by-product of working papers, not of temperament.</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7.6  Bridging Theory and Practice</w:t>
      </w:r>
    </w:p>
    <w:p>
      <w:pPr>
        <w:keepNext/>
        <w:keepLines/>
        <w:spacing w:before="220" w:after="60"/>
      </w:pPr>
      <w:r>
        <w:rPr>
          <w:rFonts w:ascii="Arial" w:hAnsi="Arial" w:cs="Arial"/>
          <w:b/>
          <w:color w:val="E87A1E"/>
          <w:sz w:val="19"/>
          <w:szCs w:val="19"/>
        </w:rPr>
        <w:t xml:space="preserve">Table 7.2  </w:t>
      </w:r>
      <w:r>
        <w:rPr>
          <w:rFonts w:ascii="Arial" w:hAnsi="Arial" w:cs="Arial"/>
          <w:b/>
          <w:color w:val="122F5C"/>
          <w:sz w:val="19"/>
          <w:szCs w:val="19"/>
        </w:rPr>
        <w:t xml:space="preserve">Classroom concept against observed practice</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3077"/>
        <w:gridCol w:w="3847"/>
        <w:gridCol w:w="2694"/>
      </w:tblGrid>
      <w:tr>
        <w:trPr>
          <w:cantSplit/>
          <w:tblHeader/>
        </w:trPr>
        <w:tc>
          <w:tcPr>
            <w:tcW w:w="3077" w:type="dxa"/>
            <w:shd w:val="clear" w:color="auto" w:fill="122F5C"/>
            <w:vAlign w:val="center"/>
          </w:tcPr>
          <w:p>
            <w:pPr>
              <w:spacing w:before="0" w:after="0"/>
              <w:jc w:val="left"/>
            </w:pPr>
            <w:r>
              <w:rPr>
                <w:rFonts w:ascii="Arial" w:hAnsi="Arial" w:cs="Arial"/>
                <w:b/>
                <w:color w:val="FFFFFF"/>
                <w:sz w:val="16"/>
                <w:szCs w:val="16"/>
              </w:rPr>
              <w:t xml:space="preserve">Concept as taught</w:t>
            </w:r>
          </w:p>
        </w:tc>
        <w:tc>
          <w:tcPr>
            <w:tcW w:w="3847" w:type="dxa"/>
            <w:shd w:val="clear" w:color="auto" w:fill="122F5C"/>
            <w:vAlign w:val="center"/>
          </w:tcPr>
          <w:p>
            <w:pPr>
              <w:spacing w:before="0" w:after="0"/>
              <w:jc w:val="left"/>
            </w:pPr>
            <w:r>
              <w:rPr>
                <w:rFonts w:ascii="Arial" w:hAnsi="Arial" w:cs="Arial"/>
                <w:b/>
                <w:color w:val="FFFFFF"/>
                <w:sz w:val="16"/>
                <w:szCs w:val="16"/>
              </w:rPr>
              <w:t xml:space="preserve">As observed in the organisation</w:t>
            </w:r>
          </w:p>
        </w:tc>
        <w:tc>
          <w:tcPr>
            <w:tcW w:w="2694" w:type="dxa"/>
            <w:shd w:val="clear" w:color="auto" w:fill="122F5C"/>
            <w:vAlign w:val="center"/>
          </w:tcPr>
          <w:p>
            <w:pPr>
              <w:spacing w:before="0" w:after="0"/>
              <w:jc w:val="left"/>
            </w:pPr>
            <w:r>
              <w:rPr>
                <w:rFonts w:ascii="Arial" w:hAnsi="Arial" w:cs="Arial"/>
                <w:b/>
                <w:color w:val="FFFFFF"/>
                <w:sz w:val="16"/>
                <w:szCs w:val="16"/>
              </w:rPr>
              <w:t xml:space="preserve">Refinement to understanding</w:t>
            </w:r>
          </w:p>
        </w:tc>
      </w:tr>
      <w:tr>
        <w:trPr>
          <w:cantSplit/>
        </w:trPr>
        <w:tc>
          <w:tcPr>
            <w:tcW w:w="307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Current ratio of 2:1 indicates sound liquidity</w:t>
            </w:r>
          </w:p>
        </w:tc>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Ratio of 1.88 with no inventory and advance-collected liabilities</w:t>
            </w:r>
          </w:p>
        </w:tc>
        <w:tc>
          <w:tcPr>
            <w:tcW w:w="2694"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The benchmark encodes an assumption about asset composition, not a universal law</w:t>
            </w:r>
          </w:p>
        </w:tc>
      </w:tr>
      <w:tr>
        <w:trPr>
          <w:cantSplit/>
        </w:trPr>
        <w:tc>
          <w:tcPr>
            <w:tcW w:w="307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Higher leverage raises return on equity</w:t>
            </w:r>
          </w:p>
        </w:tc>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Return on equity doubled while the equity multiplier fell</w:t>
            </w:r>
          </w:p>
        </w:tc>
        <w:tc>
          <w:tcPr>
            <w:tcW w:w="2694"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Leverage is one of three drivers and often not the operative one</w:t>
            </w:r>
          </w:p>
        </w:tc>
      </w:tr>
      <w:tr>
        <w:trPr>
          <w:cantSplit/>
        </w:trPr>
        <w:tc>
          <w:tcPr>
            <w:tcW w:w="307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Break-even analysis assumes a known cost split</w:t>
            </w:r>
          </w:p>
        </w:tc>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The split of marketing had to be negotiated with management</w:t>
            </w:r>
          </w:p>
        </w:tc>
        <w:tc>
          <w:tcPr>
            <w:tcW w:w="2694"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The analysis is only as robust as the classification underlying it</w:t>
            </w:r>
          </w:p>
        </w:tc>
      </w:tr>
      <w:tr>
        <w:trPr>
          <w:cantSplit/>
        </w:trPr>
        <w:tc>
          <w:tcPr>
            <w:tcW w:w="307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Budgetary control follows preparation</w:t>
            </w:r>
          </w:p>
        </w:tc>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Budget prepared well, reviewed annually</w:t>
            </w:r>
          </w:p>
        </w:tc>
        <w:tc>
          <w:tcPr>
            <w:tcW w:w="2694"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Control is a function of review frequency, not of budget quality</w:t>
            </w:r>
          </w:p>
        </w:tc>
      </w:tr>
      <w:tr>
        <w:trPr>
          <w:cantSplit/>
        </w:trPr>
        <w:tc>
          <w:tcPr>
            <w:tcW w:w="307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Debtor days measures collection efficiency</w:t>
            </w:r>
          </w:p>
        </w:tc>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Meaningless here unless computed on credit sales alone</w:t>
            </w:r>
          </w:p>
        </w:tc>
        <w:tc>
          <w:tcPr>
            <w:tcW w:w="2694"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A ratio must be matched to the revenue mix that generated the balance</w:t>
            </w:r>
          </w:p>
        </w:tc>
      </w:tr>
      <w:tr>
        <w:trPr>
          <w:cantSplit/>
        </w:trPr>
        <w:tc>
          <w:tcPr>
            <w:tcW w:w="307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Profit indicates performance</w:t>
            </w:r>
          </w:p>
        </w:tc>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Operating cash flow of ₹ 18.61 L exceeded profit of ₹ 18.53 L</w:t>
            </w:r>
          </w:p>
        </w:tc>
        <w:tc>
          <w:tcPr>
            <w:tcW w:w="2694"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Cash conversion, not profit alone, evidences quality of earnings</w:t>
            </w:r>
          </w:p>
        </w:tc>
      </w:tr>
    </w:tbl>
    <w:p>
      <w:pPr>
        <w:spacing w:before="0" w:after="0"/>
      </w:pPr>
      <w:r>
        <w:rPr>
          <w:sz w:val="16"/>
        </w:rPr>
        <w:t/>
      </w:r>
    </w:p>
    <w:p>
      <w:r>
        <w:br w:type="page"/>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0" w:type="dxa"/>
          <w:left w:w="160" w:type="dxa"/>
          <w:bottom w:w="140" w:type="dxa"/>
          <w:right w:w="120" w:type="dxa"/>
        </w:tblCellMar>
      </w:tblPr>
      <w:tblGrid>
        <w:gridCol w:w="1731"/>
        <w:gridCol w:w="7887"/>
      </w:tblGrid>
      <w:tr>
        <w:trPr>
          <w:cantSplit/>
        </w:trPr>
        <w:tc>
          <w:tcPr>
            <w:tcW w:w="1731" w:type="dxa"/>
            <w:shd w:val="clear" w:color="auto" w:fill="122F5C"/>
            <w:vAlign w:val="center"/>
          </w:tcPr>
          <w:p>
            <w:pPr>
              <w:spacing w:before="0" w:after="20"/>
            </w:pPr>
            <w:r>
              <w:rPr>
                <w:rFonts w:ascii="Arial" w:hAnsi="Arial" w:cs="Arial"/>
                <w:b/>
                <w:color w:val="4F9EE3"/>
                <w:spacing w:val="60"/>
                <w:sz w:val="16"/>
                <w:szCs w:val="16"/>
              </w:rPr>
              <w:t xml:space="preserve">CHAPTER</w:t>
            </w:r>
          </w:p>
          <w:p>
            <w:pPr>
              <w:spacing w:before="0" w:after="0"/>
            </w:pPr>
            <w:r>
              <w:rPr>
                <w:rFonts w:ascii="Arial" w:hAnsi="Arial" w:cs="Arial"/>
                <w:b/>
                <w:color w:val="E87A1E"/>
                <w:sz w:val="62"/>
                <w:szCs w:val="62"/>
              </w:rPr>
              <w:t xml:space="preserve">8</w:t>
            </w:r>
          </w:p>
        </w:tc>
        <w:tc>
          <w:tcPr>
            <w:tcW w:w="7887" w:type="dxa"/>
            <w:shd w:val="clear" w:color="auto" w:fill="122F5C"/>
            <w:vAlign w:val="center"/>
          </w:tcPr>
          <w:p>
            <w:pPr>
              <w:spacing w:before="60" w:after="0"/>
            </w:pPr>
            <w:r>
              <w:rPr>
                <w:rFonts w:ascii="Arial" w:hAnsi="Arial" w:cs="Arial"/>
                <w:b/>
                <w:color w:val="FFFFFF"/>
                <w:sz w:val="38"/>
                <w:szCs w:val="38"/>
              </w:rPr>
              <w:t xml:space="preserve">CHALLENGES FACED</w:t>
            </w:r>
          </w:p>
        </w:tc>
      </w:tr>
    </w:tbl>
    <w:p>
      <w:pPr>
        <w:pBdr>
          <w:bottom w:val="single" w:sz="18" w:space="2" w:color="E87A1E"/>
        </w:pBdr>
        <w:spacing w:before="0" w:after="0"/>
      </w:pPr>
    </w:p>
    <w:p>
      <w:pPr>
        <w:spacing w:before="140" w:after="160" w:line="280" w:lineRule="auto"/>
        <w:jc w:val="both"/>
      </w:pPr>
      <w:r>
        <w:rPr>
          <w:rFonts w:ascii="Times New Roman" w:hAnsi="Times New Roman" w:cs="Times New Roman"/>
          <w:i/>
          <w:color w:val="444A55"/>
          <w:sz w:val="21"/>
          <w:szCs w:val="21"/>
        </w:rPr>
        <w:t xml:space="preserve">The practical and analytical difficulties encountered during the internship, how each was addressed, and what each one taught.</w:t>
      </w:r>
    </w:p>
    <w:p>
      <w:pPr>
        <w:pBdr>
          <w:left w:val="single" w:sz="14" w:space="8" w:color="4F9EE3"/>
        </w:pBdr>
        <w:spacing w:before="120" w:after="180" w:line="288" w:lineRule="auto"/>
        <w:ind w:left="200" w:right="0" w:firstLine="0"/>
      </w:pPr>
      <w:r>
        <w:rPr>
          <w:rFonts w:ascii="Times New Roman" w:hAnsi="Times New Roman" w:cs="Times New Roman"/>
          <w:i/>
          <w:color w:val="1B4B8A"/>
          <w:sz w:val="24"/>
          <w:szCs w:val="24"/>
        </w:rPr>
        <w:t xml:space="preserve">The difficulties were as instructive as the work, and recording them honestly is part of the record. Each is stated with the response adopted and the lesson drawn, because a challenge described without its resolution is merely a complaint.</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8.1  Data Availability and Format</w:t>
      </w:r>
    </w:p>
    <w:p>
      <w:pPr>
        <w:spacing w:before="0" w:after="130" w:line="264" w:lineRule="auto"/>
        <w:jc w:val="both"/>
      </w:pPr>
      <w:r>
        <w:rPr>
          <w:rFonts w:ascii="Times New Roman" w:hAnsi="Times New Roman" w:cs="Times New Roman"/>
          <w:b/>
          <w:color w:val="1A1A1A"/>
          <w:sz w:val="21"/>
          <w:szCs w:val="21"/>
        </w:rPr>
        <w:t xml:space="preserve">The difficulty.</w:t>
      </w:r>
      <w:r>
        <w:rPr>
          <w:rFonts w:ascii="Times New Roman" w:hAnsi="Times New Roman" w:cs="Times New Roman"/>
          <w:color w:val="1A1A1A"/>
          <w:sz w:val="21"/>
          <w:szCs w:val="21"/>
        </w:rPr>
        <w:t xml:space="preserve"> Financial information existed, but not in the form the analysis required. Cost data was organised by voucher and by payee rather than by cohort, so a cohort-wise contribution statement could not simply be extracted. Some schedules were maintained in spreadsheets with inconsistent headings across months.</w:t>
      </w:r>
    </w:p>
    <w:p>
      <w:pPr>
        <w:spacing w:before="0" w:after="130" w:line="264" w:lineRule="auto"/>
        <w:jc w:val="both"/>
      </w:pPr>
      <w:r>
        <w:rPr>
          <w:rFonts w:ascii="Times New Roman" w:hAnsi="Times New Roman" w:cs="Times New Roman"/>
          <w:b/>
          <w:color w:val="1A1A1A"/>
          <w:sz w:val="21"/>
          <w:szCs w:val="21"/>
        </w:rPr>
        <w:t xml:space="preserve">The response.</w:t>
      </w:r>
      <w:r>
        <w:rPr>
          <w:rFonts w:ascii="Times New Roman" w:hAnsi="Times New Roman" w:cs="Times New Roman"/>
          <w:color w:val="1A1A1A"/>
          <w:sz w:val="21"/>
          <w:szCs w:val="21"/>
        </w:rPr>
        <w:t xml:space="preserve"> Rather than requesting a reformatted data set, which would have imposed work on a busy team, the intern built a mapping table linking each voucher head to a cohort and rebuilt the cost sheet from the underlying vouchers. Where headings were inconsistent, a single standard set was adopted and documented.</w:t>
      </w:r>
    </w:p>
    <w:p>
      <w:pPr>
        <w:spacing w:before="0" w:after="130" w:line="264" w:lineRule="auto"/>
        <w:jc w:val="both"/>
      </w:pPr>
      <w:r>
        <w:rPr>
          <w:rFonts w:ascii="Times New Roman" w:hAnsi="Times New Roman" w:cs="Times New Roman"/>
          <w:b/>
          <w:color w:val="1A1A1A"/>
          <w:sz w:val="21"/>
          <w:szCs w:val="21"/>
        </w:rPr>
        <w:t xml:space="preserve">The lesson.</w:t>
      </w:r>
      <w:r>
        <w:rPr>
          <w:rFonts w:ascii="Times New Roman" w:hAnsi="Times New Roman" w:cs="Times New Roman"/>
          <w:color w:val="1A1A1A"/>
          <w:sz w:val="21"/>
          <w:szCs w:val="21"/>
        </w:rPr>
        <w:t xml:space="preserve"> Data in an operating business is organised for the purpose it was created to serve, not for the purpose of a later analysis. The analyst's first task is usually reconstruction, and the time budgeted for analysis should assume it.</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8.2  Absence of Industry Benchmarks</w:t>
      </w:r>
    </w:p>
    <w:p>
      <w:pPr>
        <w:spacing w:before="0" w:after="130" w:line="264" w:lineRule="auto"/>
        <w:jc w:val="both"/>
      </w:pPr>
      <w:r>
        <w:rPr>
          <w:rFonts w:ascii="Times New Roman" w:hAnsi="Times New Roman" w:cs="Times New Roman"/>
          <w:b/>
          <w:color w:val="1A1A1A"/>
          <w:sz w:val="21"/>
          <w:szCs w:val="21"/>
        </w:rPr>
        <w:t xml:space="preserve">The difficulty.</w:t>
      </w:r>
      <w:r>
        <w:rPr>
          <w:rFonts w:ascii="Times New Roman" w:hAnsi="Times New Roman" w:cs="Times New Roman"/>
          <w:color w:val="1A1A1A"/>
          <w:sz w:val="21"/>
          <w:szCs w:val="21"/>
        </w:rPr>
        <w:t xml:space="preserve"> The study intended to compare the organisation's ratios with sector averages. No reliable published financial data exists for unlisted, small-scale structured internship providers in India. Listed education companies were considered as a proxy and rejected: their scale, capital intensity and business models differ so greatly that comparison would have misled rather than informed.</w:t>
      </w:r>
    </w:p>
    <w:p>
      <w:pPr>
        <w:spacing w:before="0" w:after="130" w:line="264" w:lineRule="auto"/>
        <w:jc w:val="both"/>
      </w:pPr>
      <w:r>
        <w:rPr>
          <w:rFonts w:ascii="Times New Roman" w:hAnsi="Times New Roman" w:cs="Times New Roman"/>
          <w:b/>
          <w:color w:val="1A1A1A"/>
          <w:sz w:val="21"/>
          <w:szCs w:val="21"/>
        </w:rPr>
        <w:t xml:space="preserve">The response.</w:t>
      </w:r>
      <w:r>
        <w:rPr>
          <w:rFonts w:ascii="Times New Roman" w:hAnsi="Times New Roman" w:cs="Times New Roman"/>
          <w:color w:val="1A1A1A"/>
          <w:sz w:val="21"/>
          <w:szCs w:val="21"/>
        </w:rPr>
        <w:t xml:space="preserve"> Two substitute bases were adopted. First, the organisation was compared against its own three-year history, which is the more meaningful comparison for a growing business. Second, conventional rules of thumb were used, with an explicit statement wherever a rule of thumb rested on an assumption — such as the presence of inventory — that does not hold here.</w:t>
      </w:r>
    </w:p>
    <w:p>
      <w:pPr>
        <w:spacing w:before="0" w:after="130" w:line="264" w:lineRule="auto"/>
        <w:jc w:val="both"/>
      </w:pPr>
      <w:r>
        <w:rPr>
          <w:rFonts w:ascii="Times New Roman" w:hAnsi="Times New Roman" w:cs="Times New Roman"/>
          <w:b/>
          <w:color w:val="1A1A1A"/>
          <w:sz w:val="21"/>
          <w:szCs w:val="21"/>
        </w:rPr>
        <w:t xml:space="preserve">The lesson.</w:t>
      </w:r>
      <w:r>
        <w:rPr>
          <w:rFonts w:ascii="Times New Roman" w:hAnsi="Times New Roman" w:cs="Times New Roman"/>
          <w:color w:val="1A1A1A"/>
          <w:sz w:val="21"/>
          <w:szCs w:val="21"/>
        </w:rPr>
        <w:t xml:space="preserve"> Where a benchmark does not exist, the honest course is to say so and to substitute a defensible alternative, not to borrow an inapplicable one for the appearance of rigour.</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8.3  Judgement in Cost Classification</w:t>
      </w:r>
    </w:p>
    <w:p>
      <w:pPr>
        <w:spacing w:before="0" w:after="130" w:line="264" w:lineRule="auto"/>
        <w:jc w:val="both"/>
      </w:pPr>
      <w:r>
        <w:rPr>
          <w:rFonts w:ascii="Times New Roman" w:hAnsi="Times New Roman" w:cs="Times New Roman"/>
          <w:b/>
          <w:color w:val="1A1A1A"/>
          <w:sz w:val="21"/>
          <w:szCs w:val="21"/>
        </w:rPr>
        <w:t xml:space="preserve">The difficulty.</w:t>
      </w:r>
      <w:r>
        <w:rPr>
          <w:rFonts w:ascii="Times New Roman" w:hAnsi="Times New Roman" w:cs="Times New Roman"/>
          <w:color w:val="1A1A1A"/>
          <w:sz w:val="21"/>
          <w:szCs w:val="21"/>
        </w:rPr>
        <w:t xml:space="preserve"> The break-even analysis required marketing and administrative expenses to be split between variable and fixed components. Neither a statistical series long enough for regression nor an existing internal classification was available.</w:t>
      </w:r>
    </w:p>
    <w:p>
      <w:pPr>
        <w:spacing w:before="0" w:after="130" w:line="264" w:lineRule="auto"/>
        <w:jc w:val="both"/>
      </w:pPr>
      <w:r>
        <w:rPr>
          <w:rFonts w:ascii="Times New Roman" w:hAnsi="Times New Roman" w:cs="Times New Roman"/>
          <w:b/>
          <w:color w:val="1A1A1A"/>
          <w:sz w:val="21"/>
          <w:szCs w:val="21"/>
        </w:rPr>
        <w:t xml:space="preserve">The response.</w:t>
      </w:r>
      <w:r>
        <w:rPr>
          <w:rFonts w:ascii="Times New Roman" w:hAnsi="Times New Roman" w:cs="Times New Roman"/>
          <w:color w:val="1A1A1A"/>
          <w:sz w:val="21"/>
          <w:szCs w:val="21"/>
        </w:rPr>
        <w:t xml:space="preserve"> The components of each head were listed and discussed individually with management — performance advertising against brand spend, gateway charges against incubation charges — and a split agreed on the basis of observed behaviour. The judgement was then stress-tested: the sensitivity note in Section 5.5 shows that break-even sales range from about ₹ 163.5 lakh to ₹ 184.2 lakh across a twenty-point variation in the marketing assumption, and that the conclusion drawn holds throughout that range.</w:t>
      </w:r>
    </w:p>
    <w:p>
      <w:pPr>
        <w:spacing w:before="0" w:after="130" w:line="264" w:lineRule="auto"/>
        <w:jc w:val="both"/>
      </w:pPr>
      <w:r>
        <w:rPr>
          <w:rFonts w:ascii="Times New Roman" w:hAnsi="Times New Roman" w:cs="Times New Roman"/>
          <w:b/>
          <w:color w:val="1A1A1A"/>
          <w:sz w:val="21"/>
          <w:szCs w:val="21"/>
        </w:rPr>
        <w:t xml:space="preserve">The lesson.</w:t>
      </w:r>
      <w:r>
        <w:rPr>
          <w:rFonts w:ascii="Times New Roman" w:hAnsi="Times New Roman" w:cs="Times New Roman"/>
          <w:color w:val="1A1A1A"/>
          <w:sz w:val="21"/>
          <w:szCs w:val="21"/>
        </w:rPr>
        <w:t xml:space="preserve"> A judgemental input does not invalidate an analysis, provided the judgement is disclosed and the conclusion is shown to be robust to it. Concealing the judgement would have been the only real failure.</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8.4  Reconciling Conflicting Records</w:t>
      </w:r>
    </w:p>
    <w:p>
      <w:pPr>
        <w:spacing w:before="0" w:after="130" w:line="264" w:lineRule="auto"/>
        <w:jc w:val="both"/>
      </w:pPr>
      <w:r>
        <w:rPr>
          <w:rFonts w:ascii="Times New Roman" w:hAnsi="Times New Roman" w:cs="Times New Roman"/>
          <w:b/>
          <w:color w:val="1A1A1A"/>
          <w:sz w:val="21"/>
          <w:szCs w:val="21"/>
        </w:rPr>
        <w:t xml:space="preserve">The difficulty.</w:t>
      </w:r>
      <w:r>
        <w:rPr>
          <w:rFonts w:ascii="Times New Roman" w:hAnsi="Times New Roman" w:cs="Times New Roman"/>
          <w:color w:val="1A1A1A"/>
          <w:sz w:val="21"/>
          <w:szCs w:val="21"/>
        </w:rPr>
        <w:t xml:space="preserve"> Enrolment numbers held by the Admissions function did not always agree with the count implied by collections recorded in the books. The differences were small but persistent, and until they were understood no cohort-wise contribution figure could be relied upon.</w:t>
      </w:r>
    </w:p>
    <w:p>
      <w:pPr>
        <w:spacing w:before="0" w:after="130" w:line="264" w:lineRule="auto"/>
        <w:jc w:val="both"/>
      </w:pPr>
      <w:r>
        <w:rPr>
          <w:rFonts w:ascii="Times New Roman" w:hAnsi="Times New Roman" w:cs="Times New Roman"/>
          <w:b/>
          <w:color w:val="1A1A1A"/>
          <w:sz w:val="21"/>
          <w:szCs w:val="21"/>
        </w:rPr>
        <w:t xml:space="preserve">The response.</w:t>
      </w:r>
      <w:r>
        <w:rPr>
          <w:rFonts w:ascii="Times New Roman" w:hAnsi="Times New Roman" w:cs="Times New Roman"/>
          <w:color w:val="1A1A1A"/>
          <w:sz w:val="21"/>
          <w:szCs w:val="21"/>
        </w:rPr>
        <w:t xml:space="preserve"> Each difference was traced individually. Three causes emerged: candidates enrolled in one month and paid in the next, part-payments recorded as full enrolments, and a small number of scholarship waivers recorded in the enrolment system but correctly absent from collections. Once the three causes were identified, a reconciliation format was devised that accommodated all of them.</w:t>
      </w:r>
    </w:p>
    <w:p>
      <w:pPr>
        <w:spacing w:before="0" w:after="130" w:line="264" w:lineRule="auto"/>
        <w:jc w:val="both"/>
      </w:pPr>
      <w:r>
        <w:rPr>
          <w:rFonts w:ascii="Times New Roman" w:hAnsi="Times New Roman" w:cs="Times New Roman"/>
          <w:b/>
          <w:color w:val="1A1A1A"/>
          <w:sz w:val="21"/>
          <w:szCs w:val="21"/>
        </w:rPr>
        <w:t xml:space="preserve">The lesson.</w:t>
      </w:r>
      <w:r>
        <w:rPr>
          <w:rFonts w:ascii="Times New Roman" w:hAnsi="Times New Roman" w:cs="Times New Roman"/>
          <w:color w:val="1A1A1A"/>
          <w:sz w:val="21"/>
          <w:szCs w:val="21"/>
        </w:rPr>
        <w:t xml:space="preserve"> Two records of the same event rarely differ because one is wrong; usually they differ because they measure slightly different things. Identifying what each actually measures resolves most discrepancies.</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8.5  Working within Confidentiality Constraints</w:t>
      </w:r>
    </w:p>
    <w:p>
      <w:pPr>
        <w:spacing w:before="0" w:after="130" w:line="264" w:lineRule="auto"/>
        <w:jc w:val="both"/>
      </w:pPr>
      <w:r>
        <w:rPr>
          <w:rFonts w:ascii="Times New Roman" w:hAnsi="Times New Roman" w:cs="Times New Roman"/>
          <w:b/>
          <w:color w:val="1A1A1A"/>
          <w:sz w:val="21"/>
          <w:szCs w:val="21"/>
        </w:rPr>
        <w:t xml:space="preserve">The difficulty.</w:t>
      </w:r>
      <w:r>
        <w:rPr>
          <w:rFonts w:ascii="Times New Roman" w:hAnsi="Times New Roman" w:cs="Times New Roman"/>
          <w:color w:val="1A1A1A"/>
          <w:sz w:val="21"/>
          <w:szCs w:val="21"/>
        </w:rPr>
        <w:t xml:space="preserve"> Client-wise contract values, individual mentor rates and candidate details are commercially sensitive. Reproducing them would have been a breach of the trust on which access was granted; omitting them entirely would have weakened the analysis.</w:t>
      </w:r>
    </w:p>
    <w:p>
      <w:pPr>
        <w:spacing w:before="0" w:after="130" w:line="264" w:lineRule="auto"/>
        <w:jc w:val="both"/>
      </w:pPr>
      <w:r>
        <w:rPr>
          <w:rFonts w:ascii="Times New Roman" w:hAnsi="Times New Roman" w:cs="Times New Roman"/>
          <w:b/>
          <w:color w:val="1A1A1A"/>
          <w:sz w:val="21"/>
          <w:szCs w:val="21"/>
        </w:rPr>
        <w:t xml:space="preserve">The response.</w:t>
      </w:r>
      <w:r>
        <w:rPr>
          <w:rFonts w:ascii="Times New Roman" w:hAnsi="Times New Roman" w:cs="Times New Roman"/>
          <w:color w:val="1A1A1A"/>
          <w:sz w:val="21"/>
          <w:szCs w:val="21"/>
        </w:rPr>
        <w:t xml:space="preserve"> All such data has been aggregated. Receivables appear by age bucket rather than by client, revenue by service line rather than by contract, and mentor cost in total rather than by individual. The analytical conclusions do not depend on the suppressed detail, and where aggregation limits what can be concluded, the limitation is stated.</w:t>
      </w:r>
    </w:p>
    <w:p>
      <w:pPr>
        <w:spacing w:before="0" w:after="130" w:line="264" w:lineRule="auto"/>
        <w:jc w:val="both"/>
      </w:pPr>
      <w:r>
        <w:rPr>
          <w:rFonts w:ascii="Times New Roman" w:hAnsi="Times New Roman" w:cs="Times New Roman"/>
          <w:b/>
          <w:color w:val="1A1A1A"/>
          <w:sz w:val="21"/>
          <w:szCs w:val="21"/>
        </w:rPr>
        <w:t xml:space="preserve">The lesson.</w:t>
      </w:r>
      <w:r>
        <w:rPr>
          <w:rFonts w:ascii="Times New Roman" w:hAnsi="Times New Roman" w:cs="Times New Roman"/>
          <w:color w:val="1A1A1A"/>
          <w:sz w:val="21"/>
          <w:szCs w:val="21"/>
        </w:rPr>
        <w:t xml:space="preserve"> Confidentiality and analytical usefulness are usually reconcilable through the right level of aggregation. The question to ask is what level of detail the conclusion actually requires, which is often less than the analyst first assumes.</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8.6  Time Pressure and Competing Priorities</w:t>
      </w:r>
    </w:p>
    <w:p>
      <w:pPr>
        <w:spacing w:before="0" w:after="130" w:line="264" w:lineRule="auto"/>
        <w:jc w:val="both"/>
      </w:pPr>
      <w:r>
        <w:rPr>
          <w:rFonts w:ascii="Times New Roman" w:hAnsi="Times New Roman" w:cs="Times New Roman"/>
          <w:b/>
          <w:color w:val="1A1A1A"/>
          <w:sz w:val="21"/>
          <w:szCs w:val="21"/>
        </w:rPr>
        <w:t xml:space="preserve">The difficulty.</w:t>
      </w:r>
      <w:r>
        <w:rPr>
          <w:rFonts w:ascii="Times New Roman" w:hAnsi="Times New Roman" w:cs="Times New Roman"/>
          <w:color w:val="1A1A1A"/>
          <w:sz w:val="21"/>
          <w:szCs w:val="21"/>
        </w:rPr>
        <w:t xml:space="preserve"> 46 Days is a short period in which to understand a business, reconstruct three years of analysis and write a report. The internship also coincided with the organisation's peak season, when the finance function was least able to spare time for explanation, and with month-end and quarter-end compliance work.</w:t>
      </w:r>
    </w:p>
    <w:p>
      <w:pPr>
        <w:spacing w:before="0" w:after="130" w:line="264" w:lineRule="auto"/>
        <w:jc w:val="both"/>
      </w:pPr>
      <w:r>
        <w:rPr>
          <w:rFonts w:ascii="Times New Roman" w:hAnsi="Times New Roman" w:cs="Times New Roman"/>
          <w:b/>
          <w:color w:val="1A1A1A"/>
          <w:sz w:val="21"/>
          <w:szCs w:val="21"/>
        </w:rPr>
        <w:t xml:space="preserve">The response.</w:t>
      </w:r>
      <w:r>
        <w:rPr>
          <w:rFonts w:ascii="Times New Roman" w:hAnsi="Times New Roman" w:cs="Times New Roman"/>
          <w:color w:val="1A1A1A"/>
          <w:sz w:val="21"/>
          <w:szCs w:val="21"/>
        </w:rPr>
        <w:t xml:space="preserve"> A written work plan was agreed with the mentor in Week One and reviewed each Saturday. Questions were batched and raised in the weekly review rather than as they arose, and clerical work was scheduled into the periods when the accounts team was busiest, with analytical work reserved for quieter days.</w:t>
      </w:r>
    </w:p>
    <w:p>
      <w:pPr>
        <w:spacing w:before="0" w:after="130" w:line="264" w:lineRule="auto"/>
        <w:jc w:val="both"/>
      </w:pPr>
      <w:r>
        <w:rPr>
          <w:rFonts w:ascii="Times New Roman" w:hAnsi="Times New Roman" w:cs="Times New Roman"/>
          <w:b/>
          <w:color w:val="1A1A1A"/>
          <w:sz w:val="21"/>
          <w:szCs w:val="21"/>
        </w:rPr>
        <w:t xml:space="preserve">The lesson.</w:t>
      </w:r>
      <w:r>
        <w:rPr>
          <w:rFonts w:ascii="Times New Roman" w:hAnsi="Times New Roman" w:cs="Times New Roman"/>
          <w:color w:val="1A1A1A"/>
          <w:sz w:val="21"/>
          <w:szCs w:val="21"/>
        </w:rPr>
        <w:t xml:space="preserve"> In an operating business the analyst's schedule must yield to the business's schedule. Batching questions and working to a visible plan obtained more cooperation than persistence would have.</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8.7  Transition from Academic to Professional Standards</w:t>
      </w:r>
    </w:p>
    <w:p>
      <w:pPr>
        <w:spacing w:before="0" w:after="130" w:line="264" w:lineRule="auto"/>
        <w:jc w:val="both"/>
      </w:pPr>
      <w:r>
        <w:rPr>
          <w:rFonts w:ascii="Times New Roman" w:hAnsi="Times New Roman" w:cs="Times New Roman"/>
          <w:b/>
          <w:color w:val="1A1A1A"/>
          <w:sz w:val="21"/>
          <w:szCs w:val="21"/>
        </w:rPr>
        <w:t xml:space="preserve">The difficulty.</w:t>
      </w:r>
      <w:r>
        <w:rPr>
          <w:rFonts w:ascii="Times New Roman" w:hAnsi="Times New Roman" w:cs="Times New Roman"/>
          <w:color w:val="1A1A1A"/>
          <w:sz w:val="21"/>
          <w:szCs w:val="21"/>
        </w:rPr>
        <w:t xml:space="preserve"> Academic work is assessed on completeness of exposition; professional work is assessed on usefulness of conclusion. An early draft of the analysis was returned by the mentor with the observation that it explained the computation of every ratio at length and said too little about what management should do differently.</w:t>
      </w:r>
    </w:p>
    <w:p>
      <w:pPr>
        <w:spacing w:before="0" w:after="130" w:line="264" w:lineRule="auto"/>
        <w:jc w:val="both"/>
      </w:pPr>
      <w:r>
        <w:rPr>
          <w:rFonts w:ascii="Times New Roman" w:hAnsi="Times New Roman" w:cs="Times New Roman"/>
          <w:b/>
          <w:color w:val="1A1A1A"/>
          <w:sz w:val="21"/>
          <w:szCs w:val="21"/>
        </w:rPr>
        <w:t xml:space="preserve">The response.</w:t>
      </w:r>
      <w:r>
        <w:rPr>
          <w:rFonts w:ascii="Times New Roman" w:hAnsi="Times New Roman" w:cs="Times New Roman"/>
          <w:color w:val="1A1A1A"/>
          <w:sz w:val="21"/>
          <w:szCs w:val="21"/>
        </w:rPr>
        <w:t xml:space="preserve"> The report was restructured. Method was compressed to what a reader needs in order to trust the figure, and every analytical section was required to end in an interpretation rather than a number. Chapter Nine was rewritten so that each recommendation names an owner, a frequency and a measurable trigger.</w:t>
      </w:r>
    </w:p>
    <w:p>
      <w:pPr>
        <w:spacing w:before="0" w:after="130" w:line="264" w:lineRule="auto"/>
        <w:jc w:val="both"/>
      </w:pPr>
      <w:r>
        <w:rPr>
          <w:rFonts w:ascii="Times New Roman" w:hAnsi="Times New Roman" w:cs="Times New Roman"/>
          <w:b/>
          <w:color w:val="1A1A1A"/>
          <w:sz w:val="21"/>
          <w:szCs w:val="21"/>
        </w:rPr>
        <w:t xml:space="preserve">The lesson.</w:t>
      </w:r>
      <w:r>
        <w:rPr>
          <w:rFonts w:ascii="Times New Roman" w:hAnsi="Times New Roman" w:cs="Times New Roman"/>
          <w:color w:val="1A1A1A"/>
          <w:sz w:val="21"/>
          <w:szCs w:val="21"/>
        </w:rPr>
        <w:t xml:space="preserve"> The most valuable correction of the internship. Analysis that does not terminate in a decision is an exercise, not advice.</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8.8  Summary</w:t>
      </w:r>
    </w:p>
    <w:p>
      <w:pPr>
        <w:keepNext/>
        <w:keepLines/>
        <w:spacing w:before="220" w:after="60"/>
      </w:pPr>
      <w:r>
        <w:rPr>
          <w:rFonts w:ascii="Arial" w:hAnsi="Arial" w:cs="Arial"/>
          <w:b/>
          <w:color w:val="E87A1E"/>
          <w:sz w:val="19"/>
          <w:szCs w:val="19"/>
        </w:rPr>
        <w:t xml:space="preserve">Table 8.1  </w:t>
      </w:r>
      <w:r>
        <w:rPr>
          <w:rFonts w:ascii="Arial" w:hAnsi="Arial" w:cs="Arial"/>
          <w:b/>
          <w:color w:val="122F5C"/>
          <w:sz w:val="19"/>
          <w:szCs w:val="19"/>
        </w:rPr>
        <w:t xml:space="preserve">Challenges, responses and lessons</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2500"/>
        <w:gridCol w:w="3847"/>
        <w:gridCol w:w="3271"/>
      </w:tblGrid>
      <w:tr>
        <w:trPr>
          <w:cantSplit/>
          <w:tblHeader/>
        </w:trPr>
        <w:tc>
          <w:tcPr>
            <w:tcW w:w="2500" w:type="dxa"/>
            <w:shd w:val="clear" w:color="auto" w:fill="122F5C"/>
            <w:vAlign w:val="center"/>
          </w:tcPr>
          <w:p>
            <w:pPr>
              <w:spacing w:before="0" w:after="0"/>
              <w:jc w:val="left"/>
            </w:pPr>
            <w:r>
              <w:rPr>
                <w:rFonts w:ascii="Arial" w:hAnsi="Arial" w:cs="Arial"/>
                <w:b/>
                <w:color w:val="FFFFFF"/>
                <w:sz w:val="16"/>
                <w:szCs w:val="16"/>
              </w:rPr>
              <w:t xml:space="preserve">Challenge</w:t>
            </w:r>
          </w:p>
        </w:tc>
        <w:tc>
          <w:tcPr>
            <w:tcW w:w="3847" w:type="dxa"/>
            <w:shd w:val="clear" w:color="auto" w:fill="122F5C"/>
            <w:vAlign w:val="center"/>
          </w:tcPr>
          <w:p>
            <w:pPr>
              <w:spacing w:before="0" w:after="0"/>
              <w:jc w:val="left"/>
            </w:pPr>
            <w:r>
              <w:rPr>
                <w:rFonts w:ascii="Arial" w:hAnsi="Arial" w:cs="Arial"/>
                <w:b/>
                <w:color w:val="FFFFFF"/>
                <w:sz w:val="16"/>
                <w:szCs w:val="16"/>
              </w:rPr>
              <w:t xml:space="preserve">Response</w:t>
            </w:r>
          </w:p>
        </w:tc>
        <w:tc>
          <w:tcPr>
            <w:tcW w:w="3271" w:type="dxa"/>
            <w:shd w:val="clear" w:color="auto" w:fill="122F5C"/>
            <w:vAlign w:val="center"/>
          </w:tcPr>
          <w:p>
            <w:pPr>
              <w:spacing w:before="0" w:after="0"/>
              <w:jc w:val="left"/>
            </w:pPr>
            <w:r>
              <w:rPr>
                <w:rFonts w:ascii="Arial" w:hAnsi="Arial" w:cs="Arial"/>
                <w:b/>
                <w:color w:val="FFFFFF"/>
                <w:sz w:val="16"/>
                <w:szCs w:val="16"/>
              </w:rPr>
              <w:t xml:space="preserve">Lesson</w:t>
            </w:r>
          </w:p>
        </w:tc>
      </w:tr>
      <w:tr>
        <w:trPr>
          <w:cantSplit/>
        </w:trPr>
        <w:tc>
          <w:tcPr>
            <w:tcW w:w="250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Data not in analysable form</w:t>
            </w:r>
          </w:p>
        </w:tc>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Built a voucher-to-cohort mapping and rebuilt the cost sheet</w:t>
            </w:r>
          </w:p>
        </w:tc>
        <w:tc>
          <w:tcPr>
            <w:tcW w:w="327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Reconstruction precedes analysis</w:t>
            </w:r>
          </w:p>
        </w:tc>
      </w:tr>
      <w:tr>
        <w:trPr>
          <w:cantSplit/>
        </w:trPr>
        <w:tc>
          <w:tcPr>
            <w:tcW w:w="250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No industry benchmarks</w:t>
            </w:r>
          </w:p>
        </w:tc>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Compared against own history and qualified rules of thumb</w:t>
            </w:r>
          </w:p>
        </w:tc>
        <w:tc>
          <w:tcPr>
            <w:tcW w:w="327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State the absence rather than borrow a false standard</w:t>
            </w:r>
          </w:p>
        </w:tc>
      </w:tr>
      <w:tr>
        <w:trPr>
          <w:cantSplit/>
        </w:trPr>
        <w:tc>
          <w:tcPr>
            <w:tcW w:w="250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Judgemental cost split</w:t>
            </w:r>
          </w:p>
        </w:tc>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Agreed the split with management and stress-tested it</w:t>
            </w:r>
          </w:p>
        </w:tc>
        <w:tc>
          <w:tcPr>
            <w:tcW w:w="327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Disclose the judgement and test the conclusion</w:t>
            </w:r>
          </w:p>
        </w:tc>
      </w:tr>
      <w:tr>
        <w:trPr>
          <w:cantSplit/>
        </w:trPr>
        <w:tc>
          <w:tcPr>
            <w:tcW w:w="250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Conflicting enrolment records</w:t>
            </w:r>
          </w:p>
        </w:tc>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Traced each difference to one of three identifiable causes</w:t>
            </w:r>
          </w:p>
        </w:tc>
        <w:tc>
          <w:tcPr>
            <w:tcW w:w="327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Records differ because they measure different things</w:t>
            </w:r>
          </w:p>
        </w:tc>
      </w:tr>
      <w:tr>
        <w:trPr>
          <w:cantSplit/>
        </w:trPr>
        <w:tc>
          <w:tcPr>
            <w:tcW w:w="250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Confidentiality limits</w:t>
            </w:r>
          </w:p>
        </w:tc>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Aggregated by bucket, line and total</w:t>
            </w:r>
          </w:p>
        </w:tc>
        <w:tc>
          <w:tcPr>
            <w:tcW w:w="327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Match the level of detail to the conclusion required</w:t>
            </w:r>
          </w:p>
        </w:tc>
      </w:tr>
      <w:tr>
        <w:trPr>
          <w:cantSplit/>
        </w:trPr>
        <w:tc>
          <w:tcPr>
            <w:tcW w:w="250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Short time in peak season</w:t>
            </w:r>
          </w:p>
        </w:tc>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Written plan, weekly review, batched questions</w:t>
            </w:r>
          </w:p>
        </w:tc>
        <w:tc>
          <w:tcPr>
            <w:tcW w:w="327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The analyst's schedule yields to the business's</w:t>
            </w:r>
          </w:p>
        </w:tc>
      </w:tr>
      <w:tr>
        <w:trPr>
          <w:cantSplit/>
        </w:trPr>
        <w:tc>
          <w:tcPr>
            <w:tcW w:w="250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Academic writing habits</w:t>
            </w:r>
          </w:p>
        </w:tc>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Restructured so every section ends in an interpretation</w:t>
            </w:r>
          </w:p>
        </w:tc>
        <w:tc>
          <w:tcPr>
            <w:tcW w:w="327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Analysis must terminate in a decision</w:t>
            </w:r>
          </w:p>
        </w:tc>
      </w:tr>
    </w:tbl>
    <w:p>
      <w:pPr>
        <w:spacing w:before="0" w:after="0"/>
      </w:pPr>
      <w:r>
        <w:rPr>
          <w:sz w:val="16"/>
        </w:rPr>
        <w:t/>
      </w:r>
    </w:p>
    <w:p>
      <w:r>
        <w:br w:type="page"/>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0" w:type="dxa"/>
          <w:left w:w="160" w:type="dxa"/>
          <w:bottom w:w="140" w:type="dxa"/>
          <w:right w:w="120" w:type="dxa"/>
        </w:tblCellMar>
      </w:tblPr>
      <w:tblGrid>
        <w:gridCol w:w="1731"/>
        <w:gridCol w:w="7887"/>
      </w:tblGrid>
      <w:tr>
        <w:trPr>
          <w:cantSplit/>
        </w:trPr>
        <w:tc>
          <w:tcPr>
            <w:tcW w:w="1731" w:type="dxa"/>
            <w:shd w:val="clear" w:color="auto" w:fill="122F5C"/>
            <w:vAlign w:val="center"/>
          </w:tcPr>
          <w:p>
            <w:pPr>
              <w:spacing w:before="0" w:after="20"/>
            </w:pPr>
            <w:r>
              <w:rPr>
                <w:rFonts w:ascii="Arial" w:hAnsi="Arial" w:cs="Arial"/>
                <w:b/>
                <w:color w:val="4F9EE3"/>
                <w:spacing w:val="60"/>
                <w:sz w:val="16"/>
                <w:szCs w:val="16"/>
              </w:rPr>
              <w:t xml:space="preserve">CHAPTER</w:t>
            </w:r>
          </w:p>
          <w:p>
            <w:pPr>
              <w:spacing w:before="0" w:after="0"/>
            </w:pPr>
            <w:r>
              <w:rPr>
                <w:rFonts w:ascii="Arial" w:hAnsi="Arial" w:cs="Arial"/>
                <w:b/>
                <w:color w:val="E87A1E"/>
                <w:sz w:val="62"/>
                <w:szCs w:val="62"/>
              </w:rPr>
              <w:t xml:space="preserve">9</w:t>
            </w:r>
          </w:p>
        </w:tc>
        <w:tc>
          <w:tcPr>
            <w:tcW w:w="7887" w:type="dxa"/>
            <w:shd w:val="clear" w:color="auto" w:fill="122F5C"/>
            <w:vAlign w:val="center"/>
          </w:tcPr>
          <w:p>
            <w:pPr>
              <w:spacing w:before="60" w:after="0"/>
            </w:pPr>
            <w:r>
              <w:rPr>
                <w:rFonts w:ascii="Arial" w:hAnsi="Arial" w:cs="Arial"/>
                <w:b/>
                <w:color w:val="FFFFFF"/>
                <w:sz w:val="38"/>
                <w:szCs w:val="38"/>
              </w:rPr>
              <w:t xml:space="preserve">FINDINGS AND SUGGESTIONS</w:t>
            </w:r>
          </w:p>
        </w:tc>
      </w:tr>
    </w:tbl>
    <w:p>
      <w:pPr>
        <w:pBdr>
          <w:bottom w:val="single" w:sz="18" w:space="2" w:color="E87A1E"/>
        </w:pBdr>
        <w:spacing w:before="0" w:after="0"/>
      </w:pPr>
    </w:p>
    <w:p>
      <w:pPr>
        <w:spacing w:before="140" w:after="160" w:line="280" w:lineRule="auto"/>
        <w:jc w:val="both"/>
      </w:pPr>
      <w:r>
        <w:rPr>
          <w:rFonts w:ascii="Times New Roman" w:hAnsi="Times New Roman" w:cs="Times New Roman"/>
          <w:i/>
          <w:color w:val="444A55"/>
          <w:sz w:val="21"/>
          <w:szCs w:val="21"/>
        </w:rPr>
        <w:t xml:space="preserve">The consolidated findings of the study and a prioritised set of recommendations, each with a named owner, a stated frequency and a measurable trigger.</w:t>
      </w:r>
    </w:p>
    <w:p>
      <w:pPr>
        <w:pBdr>
          <w:left w:val="single" w:sz="14" w:space="8" w:color="4F9EE3"/>
        </w:pBdr>
        <w:spacing w:before="120" w:after="180" w:line="288" w:lineRule="auto"/>
        <w:ind w:left="200" w:right="0" w:firstLine="0"/>
      </w:pPr>
      <w:r>
        <w:rPr>
          <w:rFonts w:ascii="Times New Roman" w:hAnsi="Times New Roman" w:cs="Times New Roman"/>
          <w:i/>
          <w:color w:val="1B4B8A"/>
          <w:sz w:val="24"/>
          <w:szCs w:val="24"/>
        </w:rPr>
        <w:t xml:space="preserve">Findings are stated first and separately from recommendations, so that the evidence can be judged independently of the advice drawn from it.</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9.1  Findings</w:t>
      </w:r>
    </w:p>
    <w:p>
      <w:pPr>
        <w:keepNext/>
        <w:keepLines/>
        <w:spacing w:before="200" w:after="80"/>
      </w:pPr>
      <w:r>
        <w:rPr>
          <w:rFonts w:ascii="Arial" w:hAnsi="Arial" w:cs="Arial"/>
          <w:b/>
          <w:color w:val="1B4B8A"/>
          <w:sz w:val="21"/>
          <w:szCs w:val="21"/>
        </w:rPr>
        <w:t xml:space="preserve">9.1.1  Findings on Growth and Profitability</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1.</w:t>
      </w:r>
      <w:r>
        <w:tab/>
      </w:r>
      <w:r>
        <w:rPr>
          <w:rFonts w:ascii="Times New Roman" w:hAnsi="Times New Roman" w:cs="Times New Roman"/>
          <w:b/>
          <w:color w:val="1A1A1A"/>
          <w:sz w:val="21"/>
          <w:szCs w:val="21"/>
        </w:rPr>
        <w:t xml:space="preserve">Growth has been rapid and has been profitable.</w:t>
      </w:r>
      <w:r>
        <w:rPr>
          <w:rFonts w:ascii="Times New Roman" w:hAnsi="Times New Roman" w:cs="Times New Roman"/>
          <w:color w:val="1A1A1A"/>
          <w:sz w:val="21"/>
          <w:szCs w:val="21"/>
        </w:rPr>
        <w:t xml:space="preserve"> Revenue from operations rose from ₹ 96.40 lakh to ₹ 214.60 lakh over three years while profit after tax rose from ₹ 3.15 lakh to ₹ 18.53 lakh. Profit grew faster than revenue in each year, which is evidence of operating leverage rather than of price increases.</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2.</w:t>
      </w:r>
      <w:r>
        <w:tab/>
      </w:r>
      <w:r>
        <w:rPr>
          <w:rFonts w:ascii="Times New Roman" w:hAnsi="Times New Roman" w:cs="Times New Roman"/>
          <w:b/>
          <w:color w:val="1A1A1A"/>
          <w:sz w:val="21"/>
          <w:szCs w:val="21"/>
        </w:rPr>
        <w:t xml:space="preserve">Margin improvement is structural, not incidental.</w:t>
      </w:r>
      <w:r>
        <w:rPr>
          <w:rFonts w:ascii="Times New Roman" w:hAnsi="Times New Roman" w:cs="Times New Roman"/>
          <w:color w:val="1A1A1A"/>
          <w:sz w:val="21"/>
          <w:szCs w:val="21"/>
        </w:rPr>
        <w:t xml:space="preserve"> The common-size analysis of Table 4.3 shows direct programme cost falling from 39.6 to 37.0 per cent of revenue and employee benefits from 25.5 to 24.6 per cent. Content reuse and overhead absorption, not pricing, are doing the work.</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3.</w:t>
      </w:r>
      <w:r>
        <w:tab/>
      </w:r>
      <w:r>
        <w:rPr>
          <w:rFonts w:ascii="Times New Roman" w:hAnsi="Times New Roman" w:cs="Times New Roman"/>
          <w:b/>
          <w:color w:val="1A1A1A"/>
          <w:sz w:val="21"/>
          <w:szCs w:val="21"/>
        </w:rPr>
        <w:t xml:space="preserve">Return on equity improved for the right reasons.</w:t>
      </w:r>
      <w:r>
        <w:rPr>
          <w:rFonts w:ascii="Times New Roman" w:hAnsi="Times New Roman" w:cs="Times New Roman"/>
          <w:color w:val="1A1A1A"/>
          <w:sz w:val="21"/>
          <w:szCs w:val="21"/>
        </w:rPr>
        <w:t xml:space="preserve"> The DuPont decomposition shows the equity multiplier falling from 2.69 to 1.88 times while return on equity doubled. The improvement came from margin, not gearing.</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4.</w:t>
      </w:r>
      <w:r>
        <w:tab/>
      </w:r>
      <w:r>
        <w:rPr>
          <w:rFonts w:ascii="Times New Roman" w:hAnsi="Times New Roman" w:cs="Times New Roman"/>
          <w:b/>
          <w:color w:val="1A1A1A"/>
          <w:sz w:val="21"/>
          <w:szCs w:val="21"/>
        </w:rPr>
        <w:t xml:space="preserve">Marketing intensity has not declined.</w:t>
      </w:r>
      <w:r>
        <w:rPr>
          <w:rFonts w:ascii="Times New Roman" w:hAnsi="Times New Roman" w:cs="Times New Roman"/>
          <w:color w:val="1A1A1A"/>
          <w:sz w:val="21"/>
          <w:szCs w:val="21"/>
        </w:rPr>
        <w:t xml:space="preserve"> Marketing has held at approximately 15.4 per cent of revenue in every year. Growth is still being purchased rather than compounding from reputation and referral, and this is the most important qualification to an otherwise favourable cost story.</w:t>
      </w:r>
    </w:p>
    <w:p>
      <w:pPr>
        <w:keepNext/>
        <w:keepLines/>
        <w:spacing w:before="200" w:after="80"/>
      </w:pPr>
      <w:r>
        <w:rPr>
          <w:rFonts w:ascii="Arial" w:hAnsi="Arial" w:cs="Arial"/>
          <w:b/>
          <w:color w:val="1B4B8A"/>
          <w:sz w:val="21"/>
          <w:szCs w:val="21"/>
        </w:rPr>
        <w:t xml:space="preserve">9.1.2  Findings on Liquidity and Working Capital</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1.</w:t>
      </w:r>
      <w:r>
        <w:tab/>
      </w:r>
      <w:r>
        <w:rPr>
          <w:rFonts w:ascii="Times New Roman" w:hAnsi="Times New Roman" w:cs="Times New Roman"/>
          <w:b/>
          <w:color w:val="1A1A1A"/>
          <w:sz w:val="21"/>
          <w:szCs w:val="21"/>
        </w:rPr>
        <w:t xml:space="preserve">Liquidity is adequate once correctly interpreted.</w:t>
      </w:r>
      <w:r>
        <w:rPr>
          <w:rFonts w:ascii="Times New Roman" w:hAnsi="Times New Roman" w:cs="Times New Roman"/>
          <w:color w:val="1A1A1A"/>
          <w:sz w:val="21"/>
          <w:szCs w:val="21"/>
        </w:rPr>
        <w:t xml:space="preserve"> The current ratio of 1.88 is below the 2:1 convention, but the convention assumes inventory that this business does not hold, and a material part of current liabilities represents fees collected in advance that will be discharged by service rather than by cash.</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2.</w:t>
      </w:r>
      <w:r>
        <w:tab/>
      </w:r>
      <w:r>
        <w:rPr>
          <w:rFonts w:ascii="Times New Roman" w:hAnsi="Times New Roman" w:cs="Times New Roman"/>
          <w:b/>
          <w:color w:val="1A1A1A"/>
          <w:sz w:val="21"/>
          <w:szCs w:val="21"/>
        </w:rPr>
        <w:t xml:space="preserve">The cash conversion cycle is negative and favourable.</w:t>
      </w:r>
      <w:r>
        <w:rPr>
          <w:rFonts w:ascii="Times New Roman" w:hAnsi="Times New Roman" w:cs="Times New Roman"/>
          <w:color w:val="1A1A1A"/>
          <w:sz w:val="21"/>
          <w:szCs w:val="21"/>
        </w:rPr>
        <w:t xml:space="preserve"> Collection in about 34.0 days against payment in about 62.4 days yields a cycle of about -28.4 days, so operations are partly financed by trade credit.</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3.</w:t>
      </w:r>
      <w:r>
        <w:tab/>
      </w:r>
      <w:r>
        <w:rPr>
          <w:rFonts w:ascii="Times New Roman" w:hAnsi="Times New Roman" w:cs="Times New Roman"/>
          <w:b/>
          <w:color w:val="1A1A1A"/>
          <w:sz w:val="21"/>
          <w:szCs w:val="21"/>
        </w:rPr>
        <w:t xml:space="preserve">That favourable cycle rests on an accommodation, not a right.</w:t>
      </w:r>
      <w:r>
        <w:rPr>
          <w:rFonts w:ascii="Times New Roman" w:hAnsi="Times New Roman" w:cs="Times New Roman"/>
          <w:color w:val="1A1A1A"/>
          <w:sz w:val="21"/>
          <w:szCs w:val="21"/>
        </w:rPr>
        <w:t xml:space="preserve"> The payment period of about 62.4 days to mentors and vendors is not contractual. If mentors pressed for faster settlement the cycle would turn positive and working capital finance would be needed for the first time.</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4.</w:t>
      </w:r>
      <w:r>
        <w:tab/>
      </w:r>
      <w:r>
        <w:rPr>
          <w:rFonts w:ascii="Times New Roman" w:hAnsi="Times New Roman" w:cs="Times New Roman"/>
          <w:b/>
          <w:color w:val="1A1A1A"/>
          <w:sz w:val="21"/>
          <w:szCs w:val="21"/>
        </w:rPr>
        <w:t xml:space="preserve">The reported debtor-days figure gives false comfort.</w:t>
      </w:r>
      <w:r>
        <w:rPr>
          <w:rFonts w:ascii="Times New Roman" w:hAnsi="Times New Roman" w:cs="Times New Roman"/>
          <w:color w:val="1A1A1A"/>
          <w:sz w:val="21"/>
          <w:szCs w:val="21"/>
        </w:rPr>
        <w:t xml:space="preserve"> Because only the business-to-business line is sold on credit, trade receivables of ₹ 23.10 lakh arise from revenue of about ₹ 34.90 lakh. Measured against credit sales the collection period is of the order of 209 days, not 34.0 days. This is the single most significant weakness identified by the study.</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5.</w:t>
      </w:r>
      <w:r>
        <w:tab/>
      </w:r>
      <w:r>
        <w:rPr>
          <w:rFonts w:ascii="Times New Roman" w:hAnsi="Times New Roman" w:cs="Times New Roman"/>
          <w:b/>
          <w:color w:val="1A1A1A"/>
          <w:sz w:val="21"/>
          <w:szCs w:val="21"/>
        </w:rPr>
        <w:t xml:space="preserve">Receivables ageing shows real slippage.</w:t>
      </w:r>
      <w:r>
        <w:rPr>
          <w:rFonts w:ascii="Times New Roman" w:hAnsi="Times New Roman" w:cs="Times New Roman"/>
          <w:color w:val="1A1A1A"/>
          <w:sz w:val="21"/>
          <w:szCs w:val="21"/>
        </w:rPr>
        <w:t xml:space="preserve"> 19.05 per cent of the closing receivable balance was overdue by more than sixty days, and ₹ 1.80 lakh by more than ninety days. There is no written credit policy and no formal provisioning norm.</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6.</w:t>
      </w:r>
      <w:r>
        <w:tab/>
      </w:r>
      <w:r>
        <w:rPr>
          <w:rFonts w:ascii="Times New Roman" w:hAnsi="Times New Roman" w:cs="Times New Roman"/>
          <w:b/>
          <w:color w:val="1A1A1A"/>
          <w:sz w:val="21"/>
          <w:szCs w:val="21"/>
        </w:rPr>
        <w:t xml:space="preserve">Cash generation is genuine.</w:t>
      </w:r>
      <w:r>
        <w:rPr>
          <w:rFonts w:ascii="Times New Roman" w:hAnsi="Times New Roman" w:cs="Times New Roman"/>
          <w:color w:val="1A1A1A"/>
          <w:sz w:val="21"/>
          <w:szCs w:val="21"/>
        </w:rPr>
        <w:t xml:space="preserve"> Net cash from operations of ₹ 18.61 lakh exceeded profit after tax of ₹ 18.53 lakh, funded the whole capital programme of ₹ 8.50 lakh, permitted debt repayment of ₹ 1.50 lakh and still increased cash by ₹ 10.41 lakh.</w:t>
      </w:r>
    </w:p>
    <w:p>
      <w:pPr>
        <w:keepNext/>
        <w:keepLines/>
        <w:spacing w:before="200" w:after="80"/>
      </w:pPr>
      <w:r>
        <w:rPr>
          <w:rFonts w:ascii="Arial" w:hAnsi="Arial" w:cs="Arial"/>
          <w:b/>
          <w:color w:val="1B4B8A"/>
          <w:sz w:val="21"/>
          <w:szCs w:val="21"/>
        </w:rPr>
        <w:t xml:space="preserve">9.1.3  Findings on Budgeting and Cost Control</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1.</w:t>
      </w:r>
      <w:r>
        <w:tab/>
      </w:r>
      <w:r>
        <w:rPr>
          <w:rFonts w:ascii="Times New Roman" w:hAnsi="Times New Roman" w:cs="Times New Roman"/>
          <w:b/>
          <w:color w:val="1A1A1A"/>
          <w:sz w:val="21"/>
          <w:szCs w:val="21"/>
        </w:rPr>
        <w:t xml:space="preserve">Budgets are prepared competently but monitored inadequately.</w:t>
      </w:r>
      <w:r>
        <w:rPr>
          <w:rFonts w:ascii="Times New Roman" w:hAnsi="Times New Roman" w:cs="Times New Roman"/>
          <w:color w:val="1A1A1A"/>
          <w:sz w:val="21"/>
          <w:szCs w:val="21"/>
        </w:rPr>
        <w:t xml:space="preserve"> Preparation is participative and evidence-based; head-wise comparison against actuals is performed only at the year end, so an adverse variance cannot be corrected in the period in which it arises.</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2.</w:t>
      </w:r>
      <w:r>
        <w:tab/>
      </w:r>
      <w:r>
        <w:rPr>
          <w:rFonts w:ascii="Times New Roman" w:hAnsi="Times New Roman" w:cs="Times New Roman"/>
          <w:b/>
          <w:color w:val="1A1A1A"/>
          <w:sz w:val="21"/>
          <w:szCs w:val="21"/>
        </w:rPr>
        <w:t xml:space="preserve">A favourable revenue variance masked adverse cost variances.</w:t>
      </w:r>
      <w:r>
        <w:rPr>
          <w:rFonts w:ascii="Times New Roman" w:hAnsi="Times New Roman" w:cs="Times New Roman"/>
          <w:color w:val="1A1A1A"/>
          <w:sz w:val="21"/>
          <w:szCs w:val="21"/>
        </w:rPr>
        <w:t xml:space="preserve"> Revenue exceeded budget by 4.68 per cent while marketing overshot by 10.33 per cent, direct programme cost by 4.34 per cent and technology by 4.44 per cent. Had revenue merely met budget, the overruns would have reduced profit before tax by roughly a third.</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3.</w:t>
      </w:r>
      <w:r>
        <w:tab/>
      </w:r>
      <w:r>
        <w:rPr>
          <w:rFonts w:ascii="Times New Roman" w:hAnsi="Times New Roman" w:cs="Times New Roman"/>
          <w:b/>
          <w:color w:val="1A1A1A"/>
          <w:sz w:val="21"/>
          <w:szCs w:val="21"/>
        </w:rPr>
        <w:t xml:space="preserve">The marketing budget is set on a basis that cannot be controlled.</w:t>
      </w:r>
      <w:r>
        <w:rPr>
          <w:rFonts w:ascii="Times New Roman" w:hAnsi="Times New Roman" w:cs="Times New Roman"/>
          <w:color w:val="1A1A1A"/>
          <w:sz w:val="21"/>
          <w:szCs w:val="21"/>
        </w:rPr>
        <w:t xml:space="preserve"> Fixing the provision as a percentage of projected revenue makes overspend arithmetically likely when revenue exceeds projection and provides no test of whether the spend bought proportionate enrolment.</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4.</w:t>
      </w:r>
      <w:r>
        <w:tab/>
      </w:r>
      <w:r>
        <w:rPr>
          <w:rFonts w:ascii="Times New Roman" w:hAnsi="Times New Roman" w:cs="Times New Roman"/>
          <w:b/>
          <w:color w:val="1A1A1A"/>
          <w:sz w:val="21"/>
          <w:szCs w:val="21"/>
        </w:rPr>
        <w:t xml:space="preserve">No flexible budget exists.</w:t>
      </w:r>
      <w:r>
        <w:rPr>
          <w:rFonts w:ascii="Times New Roman" w:hAnsi="Times New Roman" w:cs="Times New Roman"/>
          <w:color w:val="1A1A1A"/>
          <w:sz w:val="21"/>
          <w:szCs w:val="21"/>
        </w:rPr>
        <w:t xml:space="preserve"> Because variances are not restated to actual activity, the direct programme cost variance of 4.34 per cent cannot be separated into a volume effect, which is expected and harmless, and an efficiency effect, which would matter.</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5.</w:t>
      </w:r>
      <w:r>
        <w:tab/>
      </w:r>
      <w:r>
        <w:rPr>
          <w:rFonts w:ascii="Times New Roman" w:hAnsi="Times New Roman" w:cs="Times New Roman"/>
          <w:b/>
          <w:color w:val="1A1A1A"/>
          <w:sz w:val="21"/>
          <w:szCs w:val="21"/>
        </w:rPr>
        <w:t xml:space="preserve">No cash budget exists, despite pronounced seasonality.</w:t>
      </w:r>
      <w:r>
        <w:rPr>
          <w:rFonts w:ascii="Times New Roman" w:hAnsi="Times New Roman" w:cs="Times New Roman"/>
          <w:color w:val="1A1A1A"/>
          <w:sz w:val="21"/>
          <w:szCs w:val="21"/>
        </w:rPr>
        <w:t xml:space="preserve"> Third-quarter revenue of ₹ 41.20 lakh annualises to a run rate below break-even sales of ₹ 174.76 lakh. The company is loss-making in its lean quarter and has no formal month-wise projection of receipts and payments.</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6.</w:t>
      </w:r>
      <w:r>
        <w:tab/>
      </w:r>
      <w:r>
        <w:rPr>
          <w:rFonts w:ascii="Times New Roman" w:hAnsi="Times New Roman" w:cs="Times New Roman"/>
          <w:b/>
          <w:color w:val="1A1A1A"/>
          <w:sz w:val="21"/>
          <w:szCs w:val="21"/>
        </w:rPr>
        <w:t xml:space="preserve">Cost control measures that do exist are effective.</w:t>
      </w:r>
      <w:r>
        <w:rPr>
          <w:rFonts w:ascii="Times New Roman" w:hAnsi="Times New Roman" w:cs="Times New Roman"/>
          <w:color w:val="1A1A1A"/>
          <w:sz w:val="21"/>
          <w:szCs w:val="21"/>
        </w:rPr>
        <w:t xml:space="preserve"> The incubation arrangement, variable mentor engagement, content reuse and digital delivery are all visible in the common-size statements and in the favourable administration and finance cost variances.</w:t>
      </w:r>
    </w:p>
    <w:p>
      <w:pPr>
        <w:keepNext/>
        <w:keepLines/>
        <w:spacing w:before="200" w:after="80"/>
      </w:pPr>
      <w:r>
        <w:rPr>
          <w:rFonts w:ascii="Arial" w:hAnsi="Arial" w:cs="Arial"/>
          <w:b/>
          <w:color w:val="1B4B8A"/>
          <w:sz w:val="21"/>
          <w:szCs w:val="21"/>
        </w:rPr>
        <w:t xml:space="preserve">9.1.4  Findings on Solvency and Structure</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1.</w:t>
      </w:r>
      <w:r>
        <w:tab/>
      </w:r>
      <w:r>
        <w:rPr>
          <w:rFonts w:ascii="Times New Roman" w:hAnsi="Times New Roman" w:cs="Times New Roman"/>
          <w:b/>
          <w:color w:val="1A1A1A"/>
          <w:sz w:val="21"/>
          <w:szCs w:val="21"/>
        </w:rPr>
        <w:t xml:space="preserve">Solvency has strengthened on every measure.</w:t>
      </w:r>
      <w:r>
        <w:rPr>
          <w:rFonts w:ascii="Times New Roman" w:hAnsi="Times New Roman" w:cs="Times New Roman"/>
          <w:color w:val="1A1A1A"/>
          <w:sz w:val="21"/>
          <w:szCs w:val="21"/>
        </w:rPr>
        <w:t xml:space="preserve"> Debt-equity fell from 0.86 to 0.26, interest cover rose from 4.82 to 16.44 times and the proprietary ratio reached 53.30 per cent.</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2.</w:t>
      </w:r>
      <w:r>
        <w:tab/>
      </w:r>
      <w:r>
        <w:rPr>
          <w:rFonts w:ascii="Times New Roman" w:hAnsi="Times New Roman" w:cs="Times New Roman"/>
          <w:b/>
          <w:color w:val="1A1A1A"/>
          <w:sz w:val="21"/>
          <w:szCs w:val="21"/>
        </w:rPr>
        <w:t xml:space="preserve">Financing may be more conservative than the returns warrant.</w:t>
      </w:r>
      <w:r>
        <w:rPr>
          <w:rFonts w:ascii="Times New Roman" w:hAnsi="Times New Roman" w:cs="Times New Roman"/>
          <w:color w:val="1A1A1A"/>
          <w:sz w:val="21"/>
          <w:szCs w:val="21"/>
        </w:rPr>
        <w:t xml:space="preserve"> With return on capital employed of 53.23 per cent against a materially lower borrowing cost, prudent additional debt would raise return on equity. The caution is defensible given operating leverage of 5.01 times, but it should be a deliberate choice.</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3.</w:t>
      </w:r>
      <w:r>
        <w:tab/>
      </w:r>
      <w:r>
        <w:rPr>
          <w:rFonts w:ascii="Times New Roman" w:hAnsi="Times New Roman" w:cs="Times New Roman"/>
          <w:b/>
          <w:color w:val="1A1A1A"/>
          <w:sz w:val="21"/>
          <w:szCs w:val="21"/>
        </w:rPr>
        <w:t xml:space="preserve">Revenue is concentrated in a single service line.</w:t>
      </w:r>
      <w:r>
        <w:rPr>
          <w:rFonts w:ascii="Times New Roman" w:hAnsi="Times New Roman" w:cs="Times New Roman"/>
          <w:color w:val="1A1A1A"/>
          <w:sz w:val="21"/>
          <w:szCs w:val="21"/>
        </w:rPr>
        <w:t xml:space="preserve"> Paid internship programmes contribute 52.56 per cent of turnover. A competitive or regulatory shock to that line would affect more than half of revenue.</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9.2  Suggestions</w:t>
      </w:r>
    </w:p>
    <w:p>
      <w:pPr>
        <w:spacing w:before="0" w:after="130" w:line="264" w:lineRule="auto"/>
        <w:jc w:val="both"/>
      </w:pPr>
      <w:r>
        <w:rPr>
          <w:rFonts w:ascii="Times New Roman" w:hAnsi="Times New Roman" w:cs="Times New Roman"/>
          <w:color w:val="1A1A1A"/>
          <w:sz w:val="21"/>
          <w:szCs w:val="21"/>
        </w:rPr>
        <w:t xml:space="preserve">Each suggestion below states what should be done, who should own it, how often it should occur and what measurable trigger should prompt action. Recommendations are ordered by priority, and the priority reflects the ratio of expected benefit to implementation difficulty rather than the size of the underlying number.</w:t>
      </w:r>
    </w:p>
    <w:p>
      <w:pPr>
        <w:keepNext/>
        <w:keepLines/>
        <w:spacing w:before="220" w:after="60"/>
      </w:pPr>
      <w:r>
        <w:rPr>
          <w:rFonts w:ascii="Arial" w:hAnsi="Arial" w:cs="Arial"/>
          <w:b/>
          <w:color w:val="E87A1E"/>
          <w:sz w:val="19"/>
          <w:szCs w:val="19"/>
        </w:rPr>
        <w:t xml:space="preserve">Table 9.1  </w:t>
      </w:r>
      <w:r>
        <w:rPr>
          <w:rFonts w:ascii="Arial" w:hAnsi="Arial" w:cs="Arial"/>
          <w:b/>
          <w:color w:val="122F5C"/>
          <w:sz w:val="19"/>
          <w:szCs w:val="19"/>
        </w:rPr>
        <w:t xml:space="preserve">Prioritised recommendations</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480"/>
        <w:gridCol w:w="3558"/>
        <w:gridCol w:w="1442"/>
        <w:gridCol w:w="1250"/>
        <w:gridCol w:w="2888"/>
      </w:tblGrid>
      <w:tr>
        <w:trPr>
          <w:cantSplit/>
          <w:tblHeader/>
        </w:trPr>
        <w:tc>
          <w:tcPr>
            <w:tcW w:w="480" w:type="dxa"/>
            <w:shd w:val="clear" w:color="auto" w:fill="122F5C"/>
            <w:vAlign w:val="center"/>
          </w:tcPr>
          <w:p>
            <w:pPr>
              <w:spacing w:before="0" w:after="0"/>
              <w:jc w:val="center"/>
            </w:pPr>
            <w:r>
              <w:rPr>
                <w:rFonts w:ascii="Arial" w:hAnsi="Arial" w:cs="Arial"/>
                <w:b/>
                <w:color w:val="FFFFFF"/>
                <w:sz w:val="16"/>
                <w:szCs w:val="16"/>
              </w:rPr>
              <w:t xml:space="preserve">No.</w:t>
            </w:r>
          </w:p>
        </w:tc>
        <w:tc>
          <w:tcPr>
            <w:tcW w:w="3558" w:type="dxa"/>
            <w:shd w:val="clear" w:color="auto" w:fill="122F5C"/>
            <w:vAlign w:val="center"/>
          </w:tcPr>
          <w:p>
            <w:pPr>
              <w:spacing w:before="0" w:after="0"/>
              <w:jc w:val="left"/>
            </w:pPr>
            <w:r>
              <w:rPr>
                <w:rFonts w:ascii="Arial" w:hAnsi="Arial" w:cs="Arial"/>
                <w:b/>
                <w:color w:val="FFFFFF"/>
                <w:sz w:val="16"/>
                <w:szCs w:val="16"/>
              </w:rPr>
              <w:t xml:space="preserve">Recommendation</w:t>
            </w:r>
          </w:p>
        </w:tc>
        <w:tc>
          <w:tcPr>
            <w:tcW w:w="1442" w:type="dxa"/>
            <w:shd w:val="clear" w:color="auto" w:fill="122F5C"/>
            <w:vAlign w:val="center"/>
          </w:tcPr>
          <w:p>
            <w:pPr>
              <w:spacing w:before="0" w:after="0"/>
              <w:jc w:val="left"/>
            </w:pPr>
            <w:r>
              <w:rPr>
                <w:rFonts w:ascii="Arial" w:hAnsi="Arial" w:cs="Arial"/>
                <w:b/>
                <w:color w:val="FFFFFF"/>
                <w:sz w:val="16"/>
                <w:szCs w:val="16"/>
              </w:rPr>
              <w:t xml:space="preserve">Owner</w:t>
            </w:r>
          </w:p>
        </w:tc>
        <w:tc>
          <w:tcPr>
            <w:tcW w:w="1250" w:type="dxa"/>
            <w:shd w:val="clear" w:color="auto" w:fill="122F5C"/>
            <w:vAlign w:val="center"/>
          </w:tcPr>
          <w:p>
            <w:pPr>
              <w:spacing w:before="0" w:after="0"/>
              <w:jc w:val="center"/>
            </w:pPr>
            <w:r>
              <w:rPr>
                <w:rFonts w:ascii="Arial" w:hAnsi="Arial" w:cs="Arial"/>
                <w:b/>
                <w:color w:val="FFFFFF"/>
                <w:sz w:val="16"/>
                <w:szCs w:val="16"/>
              </w:rPr>
              <w:t xml:space="preserve">Frequency</w:t>
            </w:r>
          </w:p>
        </w:tc>
        <w:tc>
          <w:tcPr>
            <w:tcW w:w="2888" w:type="dxa"/>
            <w:shd w:val="clear" w:color="auto" w:fill="122F5C"/>
            <w:vAlign w:val="center"/>
          </w:tcPr>
          <w:p>
            <w:pPr>
              <w:spacing w:before="0" w:after="0"/>
              <w:jc w:val="left"/>
            </w:pPr>
            <w:r>
              <w:rPr>
                <w:rFonts w:ascii="Arial" w:hAnsi="Arial" w:cs="Arial"/>
                <w:b/>
                <w:color w:val="FFFFFF"/>
                <w:sz w:val="16"/>
                <w:szCs w:val="16"/>
              </w:rPr>
              <w:t xml:space="preserve">Trigger for action</w:t>
            </w:r>
          </w:p>
        </w:tc>
      </w:tr>
      <w:tr>
        <w:trPr>
          <w:cantSplit/>
        </w:trPr>
        <w:tc>
          <w:tcPr>
            <w:tcW w:w="480"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1</w:t>
            </w:r>
          </w:p>
        </w:tc>
        <w:tc>
          <w:tcPr>
            <w:tcW w:w="355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Institute a monthly budget-versus-actual review covering every head, not merely revenue</w:t>
            </w:r>
          </w:p>
        </w:tc>
        <w:tc>
          <w:tcPr>
            <w:tcW w:w="1442"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Finance</w:t>
            </w:r>
          </w:p>
        </w:tc>
        <w:tc>
          <w:tcPr>
            <w:tcW w:w="1250"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Monthly</w:t>
            </w:r>
          </w:p>
        </w:tc>
        <w:tc>
          <w:tcPr>
            <w:tcW w:w="288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Written explanation required for any head deviating by more than five per cent</w:t>
            </w:r>
          </w:p>
        </w:tc>
      </w:tr>
      <w:tr>
        <w:trPr>
          <w:cantSplit/>
        </w:trPr>
        <w:tc>
          <w:tcPr>
            <w:tcW w:w="480"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2</w:t>
            </w:r>
          </w:p>
        </w:tc>
        <w:tc>
          <w:tcPr>
            <w:tcW w:w="355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Issue a written credit policy for institutional clients, with credit limits, milestone-linked invoicing and approval for exceptions</w:t>
            </w:r>
          </w:p>
        </w:tc>
        <w:tc>
          <w:tcPr>
            <w:tcW w:w="1442"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Corporate Relations with Finance</w:t>
            </w:r>
          </w:p>
        </w:tc>
        <w:tc>
          <w:tcPr>
            <w:tcW w:w="1250"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On adoption</w:t>
            </w:r>
          </w:p>
        </w:tc>
        <w:tc>
          <w:tcPr>
            <w:tcW w:w="288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No new contract signed without an assigned credit limit</w:t>
            </w:r>
          </w:p>
        </w:tc>
      </w:tr>
      <w:tr>
        <w:trPr>
          <w:cantSplit/>
        </w:trPr>
        <w:tc>
          <w:tcPr>
            <w:tcW w:w="480"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3</w:t>
            </w:r>
          </w:p>
        </w:tc>
        <w:tc>
          <w:tcPr>
            <w:tcW w:w="355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Report debtor days on credit sales only, alongside the conventional figure</w:t>
            </w:r>
          </w:p>
        </w:tc>
        <w:tc>
          <w:tcPr>
            <w:tcW w:w="1442"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Finance</w:t>
            </w:r>
          </w:p>
        </w:tc>
        <w:tc>
          <w:tcPr>
            <w:tcW w:w="1250"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Monthly</w:t>
            </w:r>
          </w:p>
        </w:tc>
        <w:tc>
          <w:tcPr>
            <w:tcW w:w="288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Escalation when the credit-sales collection period exceeds seventy-five days</w:t>
            </w:r>
          </w:p>
        </w:tc>
      </w:tr>
      <w:tr>
        <w:trPr>
          <w:cantSplit/>
        </w:trPr>
        <w:tc>
          <w:tcPr>
            <w:tcW w:w="480"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4</w:t>
            </w:r>
          </w:p>
        </w:tc>
        <w:tc>
          <w:tcPr>
            <w:tcW w:w="355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Prepare a rolling twelve-month cash budget by month</w:t>
            </w:r>
          </w:p>
        </w:tc>
        <w:tc>
          <w:tcPr>
            <w:tcW w:w="1442"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Finance</w:t>
            </w:r>
          </w:p>
        </w:tc>
        <w:tc>
          <w:tcPr>
            <w:tcW w:w="1250"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Monthly rolling</w:t>
            </w:r>
          </w:p>
        </w:tc>
        <w:tc>
          <w:tcPr>
            <w:tcW w:w="288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Action when projected closing cash in any month falls below one month of committed cost</w:t>
            </w:r>
          </w:p>
        </w:tc>
      </w:tr>
      <w:tr>
        <w:trPr>
          <w:cantSplit/>
        </w:trPr>
        <w:tc>
          <w:tcPr>
            <w:tcW w:w="480"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5</w:t>
            </w:r>
          </w:p>
        </w:tc>
        <w:tc>
          <w:tcPr>
            <w:tcW w:w="355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Recast the marketing budget on a cost-per-enrolment basis by channel in place of a percentage of revenue</w:t>
            </w:r>
          </w:p>
        </w:tc>
        <w:tc>
          <w:tcPr>
            <w:tcW w:w="1442"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Marketing with Finance</w:t>
            </w:r>
          </w:p>
        </w:tc>
        <w:tc>
          <w:tcPr>
            <w:tcW w:w="1250"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Annual, reviewed monthly</w:t>
            </w:r>
          </w:p>
        </w:tc>
        <w:tc>
          <w:tcPr>
            <w:tcW w:w="288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Channel review when cost per enrolment exceeds the approved figure by ten per cent</w:t>
            </w:r>
          </w:p>
        </w:tc>
      </w:tr>
      <w:tr>
        <w:trPr>
          <w:cantSplit/>
        </w:trPr>
        <w:tc>
          <w:tcPr>
            <w:tcW w:w="480"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6</w:t>
            </w:r>
          </w:p>
        </w:tc>
        <w:tc>
          <w:tcPr>
            <w:tcW w:w="355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Introduce flexible budgeting so that variances are restated to actual activity</w:t>
            </w:r>
          </w:p>
        </w:tc>
        <w:tc>
          <w:tcPr>
            <w:tcW w:w="1442"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Finance</w:t>
            </w:r>
          </w:p>
        </w:tc>
        <w:tc>
          <w:tcPr>
            <w:tcW w:w="1250"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Monthly</w:t>
            </w:r>
          </w:p>
        </w:tc>
        <w:tc>
          <w:tcPr>
            <w:tcW w:w="288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Separate reporting of volume and efficiency variances on all variable heads</w:t>
            </w:r>
          </w:p>
        </w:tc>
      </w:tr>
      <w:tr>
        <w:trPr>
          <w:cantSplit/>
        </w:trPr>
        <w:tc>
          <w:tcPr>
            <w:tcW w:w="480"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7</w:t>
            </w:r>
          </w:p>
        </w:tc>
        <w:tc>
          <w:tcPr>
            <w:tcW w:w="355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Adopt an ageing-based provisioning norm for doubtful receivables</w:t>
            </w:r>
          </w:p>
        </w:tc>
        <w:tc>
          <w:tcPr>
            <w:tcW w:w="1442"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Finance</w:t>
            </w:r>
          </w:p>
        </w:tc>
        <w:tc>
          <w:tcPr>
            <w:tcW w:w="1250"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Quarterly</w:t>
            </w:r>
          </w:p>
        </w:tc>
        <w:tc>
          <w:tcPr>
            <w:tcW w:w="288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Provision considered on balances overdue beyond ninety days</w:t>
            </w:r>
          </w:p>
        </w:tc>
      </w:tr>
      <w:tr>
        <w:trPr>
          <w:cantSplit/>
        </w:trPr>
        <w:tc>
          <w:tcPr>
            <w:tcW w:w="480"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8</w:t>
            </w:r>
          </w:p>
        </w:tc>
        <w:tc>
          <w:tcPr>
            <w:tcW w:w="355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Introduce cohort-wise contribution reporting to support pricing and mentor-payout decisions</w:t>
            </w:r>
          </w:p>
        </w:tc>
        <w:tc>
          <w:tcPr>
            <w:tcW w:w="1442"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Programme Delivery with Finance</w:t>
            </w:r>
          </w:p>
        </w:tc>
        <w:tc>
          <w:tcPr>
            <w:tcW w:w="1250"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Per cohort</w:t>
            </w:r>
          </w:p>
        </w:tc>
        <w:tc>
          <w:tcPr>
            <w:tcW w:w="288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Review of any cohort whose contribution margin falls below forty per cent</w:t>
            </w:r>
          </w:p>
        </w:tc>
      </w:tr>
      <w:tr>
        <w:trPr>
          <w:cantSplit/>
        </w:trPr>
        <w:tc>
          <w:tcPr>
            <w:tcW w:w="480"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9</w:t>
            </w:r>
          </w:p>
        </w:tc>
        <w:tc>
          <w:tcPr>
            <w:tcW w:w="355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Arrange a modest working capital limit in advance of need, as insurance against a lengthening cycle</w:t>
            </w:r>
          </w:p>
        </w:tc>
        <w:tc>
          <w:tcPr>
            <w:tcW w:w="1442"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Management</w:t>
            </w:r>
          </w:p>
        </w:tc>
        <w:tc>
          <w:tcPr>
            <w:tcW w:w="1250"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Annual review</w:t>
            </w:r>
          </w:p>
        </w:tc>
        <w:tc>
          <w:tcPr>
            <w:tcW w:w="288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Arrange before the cash conversion cycle turns positive, not after</w:t>
            </w:r>
          </w:p>
        </w:tc>
      </w:tr>
      <w:tr>
        <w:trPr>
          <w:cantSplit/>
        </w:trPr>
        <w:tc>
          <w:tcPr>
            <w:tcW w:w="480"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10</w:t>
            </w:r>
          </w:p>
        </w:tc>
        <w:tc>
          <w:tcPr>
            <w:tcW w:w="355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Diversify revenue by expanding institutional and CSR-funded programmes</w:t>
            </w:r>
          </w:p>
        </w:tc>
        <w:tc>
          <w:tcPr>
            <w:tcW w:w="1442"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Corporate Relations</w:t>
            </w:r>
          </w:p>
        </w:tc>
        <w:tc>
          <w:tcPr>
            <w:tcW w:w="1250"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Annual target</w:t>
            </w:r>
          </w:p>
        </w:tc>
        <w:tc>
          <w:tcPr>
            <w:tcW w:w="288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Reduce the share of the largest service line below fifty per cent of turnover</w:t>
            </w:r>
          </w:p>
        </w:tc>
      </w:tr>
      <w:tr>
        <w:trPr>
          <w:cantSplit/>
        </w:trPr>
        <w:tc>
          <w:tcPr>
            <w:tcW w:w="480"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11</w:t>
            </w:r>
          </w:p>
        </w:tc>
        <w:tc>
          <w:tcPr>
            <w:tcW w:w="355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Formalise responsibility accounting so that each budget head has a named owner</w:t>
            </w:r>
          </w:p>
        </w:tc>
        <w:tc>
          <w:tcPr>
            <w:tcW w:w="1442"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Management</w:t>
            </w:r>
          </w:p>
        </w:tc>
        <w:tc>
          <w:tcPr>
            <w:tcW w:w="1250"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6"/>
                <w:szCs w:val="16"/>
              </w:rPr>
              <w:t xml:space="preserve">On adoption</w:t>
            </w:r>
          </w:p>
        </w:tc>
        <w:tc>
          <w:tcPr>
            <w:tcW w:w="2888"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Every head in the master budget attributed to one individual</w:t>
            </w:r>
          </w:p>
        </w:tc>
      </w:tr>
      <w:tr>
        <w:trPr>
          <w:cantSplit/>
        </w:trPr>
        <w:tc>
          <w:tcPr>
            <w:tcW w:w="480"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12</w:t>
            </w:r>
          </w:p>
        </w:tc>
        <w:tc>
          <w:tcPr>
            <w:tcW w:w="355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Review the capital structure deliberately in the light of the return on capital employed</w:t>
            </w:r>
          </w:p>
        </w:tc>
        <w:tc>
          <w:tcPr>
            <w:tcW w:w="1442"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Management</w:t>
            </w:r>
          </w:p>
        </w:tc>
        <w:tc>
          <w:tcPr>
            <w:tcW w:w="1250"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6"/>
                <w:szCs w:val="16"/>
              </w:rPr>
              <w:t xml:space="preserve">Annual</w:t>
            </w:r>
          </w:p>
        </w:tc>
        <w:tc>
          <w:tcPr>
            <w:tcW w:w="2888"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Explicit decision recorded, whether or not gearing is increased</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Recommendations 1 to 4 are considered to have the highest ratio of benefit to implementation effort and are capable of being adopted within one quarter.</w:t>
      </w:r>
    </w:p>
    <w:p>
      <w:pPr>
        <w:keepNext/>
        <w:keepLines/>
        <w:spacing w:before="200" w:after="80"/>
      </w:pPr>
      <w:r>
        <w:rPr>
          <w:rFonts w:ascii="Arial" w:hAnsi="Arial" w:cs="Arial"/>
          <w:b/>
          <w:color w:val="1B4B8A"/>
          <w:sz w:val="21"/>
          <w:szCs w:val="21"/>
        </w:rPr>
        <w:t xml:space="preserve">9.2.1  The Four Changes That Matter Most</w:t>
      </w:r>
    </w:p>
    <w:p>
      <w:pPr>
        <w:keepNext/>
        <w:keepLines/>
        <w:pBdr>
          <w:left w:val="single" w:sz="8" w:space="6" w:color="C8CED6"/>
        </w:pBdr>
        <w:spacing w:before="140" w:after="40"/>
        <w:ind w:left="200" w:right="0" w:firstLine="0"/>
      </w:pPr>
      <w:r>
        <w:rPr>
          <w:rFonts w:ascii="Arial" w:hAnsi="Arial" w:cs="Arial"/>
          <w:b/>
          <w:color w:val="1B4B8A"/>
          <w:sz w:val="19"/>
          <w:szCs w:val="19"/>
        </w:rPr>
        <w:t xml:space="preserve">Monthly variance review</w:t>
      </w:r>
    </w:p>
    <w:p>
      <w:pPr>
        <w:spacing w:before="0" w:after="120" w:line="264" w:lineRule="auto"/>
        <w:ind w:left="200" w:right="0" w:firstLine="0"/>
        <w:jc w:val="both"/>
      </w:pPr>
      <w:r>
        <w:rPr>
          <w:rFonts w:ascii="Times New Roman" w:hAnsi="Times New Roman" w:cs="Times New Roman"/>
          <w:color w:val="1A1A1A"/>
          <w:sz w:val="21"/>
          <w:szCs w:val="21"/>
        </w:rPr>
        <w:t xml:space="preserve">Of everything in Table 9.1 this is the most consequential and the cheapest. It requires no capital, no system and no additional staff — only a standing monthly meeting and a one-page format. It would have surfaced the marketing overspend of ₹ 3.10 lakh by the second quarter, when it could still have been corrected.</w:t>
      </w:r>
    </w:p>
    <w:p>
      <w:pPr>
        <w:keepNext/>
        <w:keepLines/>
        <w:pBdr>
          <w:left w:val="single" w:sz="8" w:space="6" w:color="C8CED6"/>
        </w:pBdr>
        <w:spacing w:before="140" w:after="40"/>
        <w:ind w:left="200" w:right="0" w:firstLine="0"/>
      </w:pPr>
      <w:r>
        <w:rPr>
          <w:rFonts w:ascii="Arial" w:hAnsi="Arial" w:cs="Arial"/>
          <w:b/>
          <w:color w:val="1B4B8A"/>
          <w:sz w:val="19"/>
          <w:szCs w:val="19"/>
        </w:rPr>
        <w:t xml:space="preserve">Credit policy and correct debtor reporting</w:t>
      </w:r>
    </w:p>
    <w:p>
      <w:pPr>
        <w:spacing w:before="0" w:after="120" w:line="264" w:lineRule="auto"/>
        <w:ind w:left="200" w:right="0" w:firstLine="0"/>
        <w:jc w:val="both"/>
      </w:pPr>
      <w:r>
        <w:rPr>
          <w:rFonts w:ascii="Times New Roman" w:hAnsi="Times New Roman" w:cs="Times New Roman"/>
          <w:color w:val="1A1A1A"/>
          <w:sz w:val="21"/>
          <w:szCs w:val="21"/>
        </w:rPr>
        <w:t xml:space="preserve">The receivable balance is the one genuine financial weakness in the accounts, and it is currently measured by a ratio that conceals it. A written credit policy and a collection period computed on credit sales together convert an invisible risk into a managed one.</w:t>
      </w:r>
    </w:p>
    <w:p>
      <w:pPr>
        <w:keepNext/>
        <w:keepLines/>
        <w:pBdr>
          <w:left w:val="single" w:sz="8" w:space="6" w:color="C8CED6"/>
        </w:pBdr>
        <w:spacing w:before="140" w:after="40"/>
        <w:ind w:left="200" w:right="0" w:firstLine="0"/>
      </w:pPr>
      <w:r>
        <w:rPr>
          <w:rFonts w:ascii="Arial" w:hAnsi="Arial" w:cs="Arial"/>
          <w:b/>
          <w:color w:val="1B4B8A"/>
          <w:sz w:val="19"/>
          <w:szCs w:val="19"/>
        </w:rPr>
        <w:t xml:space="preserve">Rolling cash budget</w:t>
      </w:r>
    </w:p>
    <w:p>
      <w:pPr>
        <w:spacing w:before="0" w:after="120" w:line="264" w:lineRule="auto"/>
        <w:ind w:left="200" w:right="0" w:firstLine="0"/>
        <w:jc w:val="both"/>
      </w:pPr>
      <w:r>
        <w:rPr>
          <w:rFonts w:ascii="Times New Roman" w:hAnsi="Times New Roman" w:cs="Times New Roman"/>
          <w:color w:val="1A1A1A"/>
          <w:sz w:val="21"/>
          <w:szCs w:val="21"/>
        </w:rPr>
        <w:t xml:space="preserve">The company is loss-making in its third quarter and has no month-wise projection of receipts and payments. Given a negative cash conversion cycle that depends on vendor accommodation, this is the exposure most likely to cause difficulty at short notice.</w:t>
      </w:r>
    </w:p>
    <w:p>
      <w:pPr>
        <w:keepNext/>
        <w:keepLines/>
        <w:pBdr>
          <w:left w:val="single" w:sz="8" w:space="6" w:color="C8CED6"/>
        </w:pBdr>
        <w:spacing w:before="140" w:after="40"/>
        <w:ind w:left="200" w:right="0" w:firstLine="0"/>
      </w:pPr>
      <w:r>
        <w:rPr>
          <w:rFonts w:ascii="Arial" w:hAnsi="Arial" w:cs="Arial"/>
          <w:b/>
          <w:color w:val="1B4B8A"/>
          <w:sz w:val="19"/>
          <w:szCs w:val="19"/>
        </w:rPr>
        <w:t xml:space="preserve">Marketing measured per enrolment</w:t>
      </w:r>
    </w:p>
    <w:p>
      <w:pPr>
        <w:spacing w:before="0" w:after="120" w:line="264" w:lineRule="auto"/>
        <w:ind w:left="200" w:right="0" w:firstLine="0"/>
        <w:jc w:val="both"/>
      </w:pPr>
      <w:r>
        <w:rPr>
          <w:rFonts w:ascii="Times New Roman" w:hAnsi="Times New Roman" w:cs="Times New Roman"/>
          <w:color w:val="1A1A1A"/>
          <w:sz w:val="21"/>
          <w:szCs w:val="21"/>
        </w:rPr>
        <w:t xml:space="preserve">Marketing is the second-largest discretionary cost and the only major head whose intensity has not fallen with scale. Measuring cost per enrolment by channel turns the overspend from an accident of budgeting into a decision about efficiency.</w:t>
      </w:r>
    </w:p>
    <w:tbl>
      <w:tblPr>
        <w:tblW w:w="9618" w:type="dxa"/>
        <w:tblBorders>
          <w:top w:val="single" w:sz="4" w:space="0" w:color="EEF4FB"/>
          <w:left w:val="single" w:sz="24" w:space="0" w:color="1B4B8A"/>
          <w:bottom w:val="single" w:sz="4" w:space="0" w:color="EEF4FB"/>
          <w:right w:val="single" w:sz="4" w:space="0" w:color="EEF4FB"/>
        </w:tblBorders>
        <w:tblCellMar>
          <w:top w:w="120" w:type="dxa"/>
          <w:left w:w="180" w:type="dxa"/>
          <w:bottom w:w="120" w:type="dxa"/>
          <w:right w:w="160" w:type="dxa"/>
        </w:tblCellMar>
      </w:tblPr>
      <w:tblGrid>
        <w:gridCol w:w="9618"/>
      </w:tblGrid>
      <w:tr>
        <w:tc>
          <w:tcPr>
            <w:tcW w:w="9618" w:type="dxa"/>
            <w:shd w:val="clear" w:color="auto" w:fill="EEF4FB"/>
          </w:tcPr>
          <w:p>
            <w:pPr>
              <w:spacing w:before="0" w:after="60"/>
            </w:pPr>
            <w:r>
              <w:rPr>
                <w:rFonts w:ascii="Arial" w:hAnsi="Arial" w:cs="Arial"/>
                <w:b/>
                <w:color w:val="1B4B8A"/>
                <w:sz w:val="20"/>
                <w:szCs w:val="20"/>
              </w:rPr>
              <w:t xml:space="preserve">An Observation on Implementation</w:t>
            </w:r>
          </w:p>
          <w:p>
            <w:pPr>
              <w:spacing w:before="0" w:after="0" w:line="250" w:lineRule="auto"/>
              <w:jc w:val="both"/>
            </w:pPr>
            <w:r>
              <w:rPr>
                <w:rFonts w:ascii="Times New Roman" w:hAnsi="Times New Roman" w:cs="Times New Roman"/>
                <w:color w:val="1A1A1A"/>
                <w:sz w:val="19"/>
                <w:szCs w:val="19"/>
              </w:rPr>
              <w:t xml:space="preserve">None of the first eight recommendations requires capital expenditure, additional borrowing or new software. They require regularity, a named owner and a written format. The financial weaknesses identified by this study are weaknesses of system discipline rather than of financial capacity, which is the most encouraging conclusion available to a company of this size.</w:t>
            </w:r>
          </w:p>
        </w:tc>
      </w:tr>
    </w:tbl>
    <w:p>
      <w:pPr>
        <w:spacing w:before="0" w:after="0"/>
      </w:pPr>
      <w:r>
        <w:rPr>
          <w:sz w:val="12"/>
        </w:rPr>
        <w:t/>
      </w:r>
    </w:p>
    <w:p>
      <w:r>
        <w:br w:type="page"/>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0" w:type="dxa"/>
          <w:left w:w="160" w:type="dxa"/>
          <w:bottom w:w="140" w:type="dxa"/>
          <w:right w:w="120" w:type="dxa"/>
        </w:tblCellMar>
      </w:tblPr>
      <w:tblGrid>
        <w:gridCol w:w="1731"/>
        <w:gridCol w:w="7887"/>
      </w:tblGrid>
      <w:tr>
        <w:trPr>
          <w:cantSplit/>
        </w:trPr>
        <w:tc>
          <w:tcPr>
            <w:tcW w:w="1731" w:type="dxa"/>
            <w:shd w:val="clear" w:color="auto" w:fill="122F5C"/>
            <w:vAlign w:val="center"/>
          </w:tcPr>
          <w:p>
            <w:pPr>
              <w:spacing w:before="0" w:after="20"/>
            </w:pPr>
            <w:r>
              <w:rPr>
                <w:rFonts w:ascii="Arial" w:hAnsi="Arial" w:cs="Arial"/>
                <w:b/>
                <w:color w:val="4F9EE3"/>
                <w:spacing w:val="60"/>
                <w:sz w:val="16"/>
                <w:szCs w:val="16"/>
              </w:rPr>
              <w:t xml:space="preserve">CHAPTER</w:t>
            </w:r>
          </w:p>
          <w:p>
            <w:pPr>
              <w:spacing w:before="0" w:after="0"/>
            </w:pPr>
            <w:r>
              <w:rPr>
                <w:rFonts w:ascii="Arial" w:hAnsi="Arial" w:cs="Arial"/>
                <w:b/>
                <w:color w:val="E87A1E"/>
                <w:sz w:val="62"/>
                <w:szCs w:val="62"/>
              </w:rPr>
              <w:t xml:space="preserve">10</w:t>
            </w:r>
          </w:p>
        </w:tc>
        <w:tc>
          <w:tcPr>
            <w:tcW w:w="7887" w:type="dxa"/>
            <w:shd w:val="clear" w:color="auto" w:fill="122F5C"/>
            <w:vAlign w:val="center"/>
          </w:tcPr>
          <w:p>
            <w:pPr>
              <w:spacing w:before="60" w:after="0"/>
            </w:pPr>
            <w:r>
              <w:rPr>
                <w:rFonts w:ascii="Arial" w:hAnsi="Arial" w:cs="Arial"/>
                <w:b/>
                <w:color w:val="FFFFFF"/>
                <w:sz w:val="38"/>
                <w:szCs w:val="38"/>
              </w:rPr>
              <w:t xml:space="preserve">CONCLUSION</w:t>
            </w:r>
          </w:p>
        </w:tc>
      </w:tr>
    </w:tbl>
    <w:p>
      <w:pPr>
        <w:pBdr>
          <w:bottom w:val="single" w:sz="18" w:space="2" w:color="E87A1E"/>
        </w:pBdr>
        <w:spacing w:before="0" w:after="0"/>
      </w:pPr>
    </w:p>
    <w:p>
      <w:pPr>
        <w:spacing w:before="140" w:after="160" w:line="280" w:lineRule="auto"/>
        <w:jc w:val="both"/>
      </w:pPr>
      <w:r>
        <w:rPr>
          <w:rFonts w:ascii="Times New Roman" w:hAnsi="Times New Roman" w:cs="Times New Roman"/>
          <w:i/>
          <w:color w:val="444A55"/>
          <w:sz w:val="21"/>
          <w:szCs w:val="21"/>
        </w:rPr>
        <w:t xml:space="preserve">An overall appraisal of the financial position and management of Infinity Interns, and concluding observations on the internship itself.</w:t>
      </w:r>
    </w:p>
    <w:p>
      <w:pPr>
        <w:pBdr>
          <w:left w:val="single" w:sz="14" w:space="8" w:color="4F9EE3"/>
        </w:pBdr>
        <w:spacing w:before="120" w:after="180" w:line="288" w:lineRule="auto"/>
        <w:ind w:left="200" w:right="0" w:firstLine="0"/>
      </w:pPr>
      <w:r>
        <w:rPr>
          <w:rFonts w:ascii="Times New Roman" w:hAnsi="Times New Roman" w:cs="Times New Roman"/>
          <w:i/>
          <w:color w:val="1B4B8A"/>
          <w:sz w:val="24"/>
          <w:szCs w:val="24"/>
        </w:rPr>
        <w:t xml:space="preserve">The question posed in Chapter One was whether the financial management practices supporting rapid growth are adequate to sustain it. The answer, on the evidence assembled, is a qualified yes.</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10.1  Overall Financial Appraisal</w:t>
      </w:r>
    </w:p>
    <w:p>
      <w:pPr>
        <w:spacing w:before="0" w:after="130" w:line="264" w:lineRule="auto"/>
        <w:jc w:val="both"/>
      </w:pPr>
      <w:r>
        <w:rPr>
          <w:rFonts w:ascii="Times New Roman" w:hAnsi="Times New Roman" w:cs="Times New Roman"/>
          <w:color w:val="1A1A1A"/>
          <w:sz w:val="21"/>
          <w:szCs w:val="21"/>
        </w:rPr>
        <w:t xml:space="preserve">Infinity Interns is a financially sound enterprise that has grown quickly without impairing its balance sheet. Over the three years examined, revenue from operations rose from ₹ 96.40 lakh to ₹ 214.60 lakh and profit after tax from ₹ 3.15 lakh to ₹ 18.53 lakh, while the debt-equity ratio fell from 0.86 to 0.26 and interest coverage rose to 16.44 times. Growth financed largely from retained earnings, accompanied by improving margins and falling gearing, is the most favourable combination a small enterprise can present.</w:t>
      </w:r>
    </w:p>
    <w:p>
      <w:pPr>
        <w:spacing w:before="0" w:after="130" w:line="264" w:lineRule="auto"/>
        <w:jc w:val="both"/>
      </w:pPr>
      <w:r>
        <w:rPr>
          <w:rFonts w:ascii="Times New Roman" w:hAnsi="Times New Roman" w:cs="Times New Roman"/>
          <w:color w:val="1A1A1A"/>
          <w:sz w:val="21"/>
          <w:szCs w:val="21"/>
        </w:rPr>
        <w:t xml:space="preserve">Three features of the business deserve particular emphasis because they are structural rather than cyclical. The first is the asset-light model: fixed asset turnover of 10.73 times means growth requires very little capital. The second is the high profit-volume ratio of 53.44 per cent, which causes profit to grow much faster than revenue. The third is the negative cash conversion cycle of about -28.4 days, which allows operations to be financed partly by trade credit. Together these explain how a company with net worth of only ₹ 42.91 lakh supports a turnover of ₹ 214.60 lakh.</w:t>
      </w:r>
    </w:p>
    <w:p>
      <w:pPr>
        <w:spacing w:before="0" w:after="130" w:line="264" w:lineRule="auto"/>
        <w:jc w:val="both"/>
      </w:pPr>
      <w:r>
        <w:rPr>
          <w:rFonts w:ascii="Times New Roman" w:hAnsi="Times New Roman" w:cs="Times New Roman"/>
          <w:color w:val="1A1A1A"/>
          <w:sz w:val="21"/>
          <w:szCs w:val="21"/>
        </w:rPr>
        <w:t xml:space="preserve">The qualification attaching to the affirmative answer concerns systems rather than performance. The organisation manages its money well but measures it incompletely. Its budget is prepared with care and reviewed too late; its most significant receivable exposure is monitored by a ratio that conceals it; its lean quarter is loss-making and unaccompanied by a cash budget; and its second largest discretionary cost is set on a basis that cannot be controlled. None of these is a financial weakness in the sense of insufficient resources. Each is a weakness of measurement, and measurement is the cheapest thing a company of this size can improve.</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10.2  Sustainability of the Present Performance</w:t>
      </w:r>
    </w:p>
    <w:p>
      <w:pPr>
        <w:spacing w:before="0" w:after="130" w:line="264" w:lineRule="auto"/>
        <w:jc w:val="both"/>
      </w:pPr>
      <w:r>
        <w:rPr>
          <w:rFonts w:ascii="Times New Roman" w:hAnsi="Times New Roman" w:cs="Times New Roman"/>
          <w:color w:val="1A1A1A"/>
          <w:sz w:val="21"/>
          <w:szCs w:val="21"/>
        </w:rPr>
        <w:t xml:space="preserve">Whether the trajectory can be sustained turns on three questions that the accounts pose but cannot answer.</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1.</w:t>
      </w:r>
      <w:r>
        <w:tab/>
      </w:r>
      <w:r>
        <w:rPr>
          <w:rFonts w:ascii="Times New Roman" w:hAnsi="Times New Roman" w:cs="Times New Roman"/>
          <w:b/>
          <w:color w:val="1A1A1A"/>
          <w:sz w:val="21"/>
          <w:szCs w:val="21"/>
        </w:rPr>
        <w:t xml:space="preserve">Will marketing intensity fall?</w:t>
      </w:r>
      <w:r>
        <w:rPr>
          <w:rFonts w:ascii="Times New Roman" w:hAnsi="Times New Roman" w:cs="Times New Roman"/>
          <w:color w:val="1A1A1A"/>
          <w:sz w:val="21"/>
          <w:szCs w:val="21"/>
        </w:rPr>
        <w:t xml:space="preserve"> Marketing has remained at about 15.4 per cent of revenue throughout. If reputation and referral begin to substitute for paid acquisition, margins will widen further; if not, growth will continue to cost what it has cost.</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2.</w:t>
      </w:r>
      <w:r>
        <w:tab/>
      </w:r>
      <w:r>
        <w:rPr>
          <w:rFonts w:ascii="Times New Roman" w:hAnsi="Times New Roman" w:cs="Times New Roman"/>
          <w:b/>
          <w:color w:val="1A1A1A"/>
          <w:sz w:val="21"/>
          <w:szCs w:val="21"/>
        </w:rPr>
        <w:t xml:space="preserve">Will the vendor accommodation hold?</w:t>
      </w:r>
      <w:r>
        <w:rPr>
          <w:rFonts w:ascii="Times New Roman" w:hAnsi="Times New Roman" w:cs="Times New Roman"/>
          <w:color w:val="1A1A1A"/>
          <w:sz w:val="21"/>
          <w:szCs w:val="21"/>
        </w:rPr>
        <w:t xml:space="preserve"> The negative cash conversion cycle depends on settling mentor and vendor obligations in about 62.4 days. In a competitive market for capable mentors this is the assumption most likely to change, and it is the one the company controls least.</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3.</w:t>
      </w:r>
      <w:r>
        <w:tab/>
      </w:r>
      <w:r>
        <w:rPr>
          <w:rFonts w:ascii="Times New Roman" w:hAnsi="Times New Roman" w:cs="Times New Roman"/>
          <w:b/>
          <w:color w:val="1A1A1A"/>
          <w:sz w:val="21"/>
          <w:szCs w:val="21"/>
        </w:rPr>
        <w:t xml:space="preserve">Will the revenue base broaden?</w:t>
      </w:r>
      <w:r>
        <w:rPr>
          <w:rFonts w:ascii="Times New Roman" w:hAnsi="Times New Roman" w:cs="Times New Roman"/>
          <w:color w:val="1A1A1A"/>
          <w:sz w:val="21"/>
          <w:szCs w:val="21"/>
        </w:rPr>
        <w:t xml:space="preserve"> With 52.56 per cent of turnover in one service line, diversification is a matter of risk management rather than ambition.</w:t>
      </w:r>
    </w:p>
    <w:p>
      <w:pPr>
        <w:spacing w:before="0" w:after="130" w:line="264" w:lineRule="auto"/>
        <w:jc w:val="both"/>
      </w:pPr>
      <w:r>
        <w:rPr>
          <w:rFonts w:ascii="Times New Roman" w:hAnsi="Times New Roman" w:cs="Times New Roman"/>
          <w:color w:val="1A1A1A"/>
          <w:sz w:val="21"/>
          <w:szCs w:val="21"/>
        </w:rPr>
        <w:t xml:space="preserve">On the evidence available, the answers are more likely than not to be favourable, and in any event the company has the balance sheet to withstand an unfavourable one. Operating cash flow of ₹ 18.61 lakh, cash balances of ₹ 24.61 lakh and a margin of safety of 18.56 per cent of turnover together provide a reasonable cushion.</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10.3  Concluding Observations on the Internship</w:t>
      </w:r>
    </w:p>
    <w:p>
      <w:pPr>
        <w:spacing w:before="0" w:after="130" w:line="264" w:lineRule="auto"/>
        <w:jc w:val="both"/>
      </w:pPr>
      <w:r>
        <w:rPr>
          <w:rFonts w:ascii="Times New Roman" w:hAnsi="Times New Roman" w:cs="Times New Roman"/>
          <w:color w:val="1A1A1A"/>
          <w:sz w:val="21"/>
          <w:szCs w:val="21"/>
        </w:rPr>
        <w:t xml:space="preserve">The internship achieved the objectives set out in Chapter One, with the single exception of comparison against industry averages, which proved impossible for the reasons recorded in Section 8.2. More importantly, it produced three understandings that no classroom exercise could have supplied.</w:t>
      </w:r>
    </w:p>
    <w:p>
      <w:pPr>
        <w:spacing w:before="0" w:after="130" w:line="264" w:lineRule="auto"/>
        <w:jc w:val="both"/>
      </w:pPr>
      <w:r>
        <w:rPr>
          <w:rFonts w:ascii="Times New Roman" w:hAnsi="Times New Roman" w:cs="Times New Roman"/>
          <w:color w:val="1A1A1A"/>
          <w:sz w:val="21"/>
          <w:szCs w:val="21"/>
        </w:rPr>
        <w:t xml:space="preserve">The first is that financial analysis is an act of interpretation rather than computation. A current ratio of 1.88 means one thing in a business holding inventory and quite another in a business holding none; a debtor-days figure of 34.0 days means nothing at all unless one knows what proportion of revenue was sold on credit. The arithmetic is the easy part.</w:t>
      </w:r>
    </w:p>
    <w:p>
      <w:pPr>
        <w:spacing w:before="0" w:after="130" w:line="264" w:lineRule="auto"/>
        <w:jc w:val="both"/>
      </w:pPr>
      <w:r>
        <w:rPr>
          <w:rFonts w:ascii="Times New Roman" w:hAnsi="Times New Roman" w:cs="Times New Roman"/>
          <w:color w:val="1A1A1A"/>
          <w:sz w:val="21"/>
          <w:szCs w:val="21"/>
        </w:rPr>
        <w:t xml:space="preserve">The second is that a correct number and a useful conclusion are different achievements. The DuPont decomposition of Section 6.8 produced the same return on equity as the direct computation, but a completely different explanation of it, and the explanation was what management could act upon.</w:t>
      </w:r>
    </w:p>
    <w:p>
      <w:pPr>
        <w:spacing w:before="0" w:after="130" w:line="264" w:lineRule="auto"/>
        <w:jc w:val="both"/>
      </w:pPr>
      <w:r>
        <w:rPr>
          <w:rFonts w:ascii="Times New Roman" w:hAnsi="Times New Roman" w:cs="Times New Roman"/>
          <w:color w:val="1A1A1A"/>
          <w:sz w:val="21"/>
          <w:szCs w:val="21"/>
        </w:rPr>
        <w:t xml:space="preserve">The third is that advice must be implementable to be advice at all. The mentor's insistence that every recommendation name an owner, a frequency and a trigger was the most valuable correction received, and it is the reason Chapter Nine takes the form it does.</w:t>
      </w:r>
    </w:p>
    <w:p>
      <w:pPr>
        <w:spacing w:before="0" w:after="130" w:line="264" w:lineRule="auto"/>
        <w:jc w:val="both"/>
      </w:pPr>
      <w:r>
        <w:rPr>
          <w:rFonts w:ascii="Times New Roman" w:hAnsi="Times New Roman" w:cs="Times New Roman"/>
          <w:color w:val="1A1A1A"/>
          <w:sz w:val="21"/>
          <w:szCs w:val="21"/>
        </w:rPr>
        <w:t xml:space="preserve">For a student of Financial Management, the experience of working through the finance function of a young, growing enterprise — where the consequence of every decision appears on the face of the accounts within a quarter — has been worth a great deal more than the equivalent time spent in a larger organisation observing one narrow slice of a process. I record my gratitude to Infinity Interns for that opportunity, and to Magadh University, Bodh Gaya for requiring it.</w:t>
      </w:r>
    </w:p>
    <w:p>
      <w:pPr>
        <w:spacing w:before="0" w:after="0"/>
      </w:pPr>
      <w:r>
        <w:rPr>
          <w:sz w:val="24"/>
        </w:rPr>
        <w:t/>
      </w:r>
    </w:p>
    <w:p>
      <w:pPr>
        <w:spacing w:before="0" w:after="0"/>
      </w:pPr>
      <w:r>
        <w:rPr>
          <w:sz w:val="32"/>
        </w:rPr>
        <w:t/>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00" w:type="dxa"/>
          <w:right w:w="200" w:type="dxa"/>
        </w:tblCellMar>
      </w:tblPr>
      <w:tblGrid>
        <w:gridCol w:w="4809"/>
        <w:gridCol w:w="4809"/>
      </w:tblGrid>
      <w:tr>
        <w:tc>
          <w:tcPr>
            <w:tcW w:w="4809" w:type="dxa"/>
          </w:tcPr>
          <w:p>
            <w:pPr>
              <w:pBdr>
                <w:bottom w:val="single" w:sz="6" w:space="2" w:color="444A55"/>
              </w:pBdr>
              <w:spacing w:before="0" w:after="0"/>
            </w:pPr>
          </w:p>
          <w:p>
            <w:pPr>
              <w:spacing w:before="0" w:after="40"/>
              <w:jc w:val="center"/>
            </w:pPr>
            <w:r>
              <w:rPr>
                <w:rFonts w:ascii="Times New Roman" w:hAnsi="Times New Roman" w:cs="Times New Roman"/>
                <w:color w:val="444A55"/>
                <w:sz w:val="17"/>
                <w:szCs w:val="17"/>
              </w:rPr>
              <w:t xml:space="preserve">Ganga Kumari Singh</w:t>
            </w:r>
          </w:p>
        </w:tc>
        <w:tc>
          <w:tcPr>
            <w:tcW w:w="4809" w:type="dxa"/>
          </w:tcPr>
          <w:p>
            <w:pPr>
              <w:pBdr>
                <w:bottom w:val="single" w:sz="6" w:space="2" w:color="444A55"/>
              </w:pBdr>
              <w:spacing w:before="0" w:after="0"/>
            </w:pPr>
          </w:p>
          <w:p>
            <w:pPr>
              <w:spacing w:before="0" w:after="40"/>
              <w:jc w:val="center"/>
            </w:pPr>
            <w:r>
              <w:rPr>
                <w:rFonts w:ascii="Times New Roman" w:hAnsi="Times New Roman" w:cs="Times New Roman"/>
                <w:color w:val="444A55"/>
                <w:sz w:val="17"/>
                <w:szCs w:val="17"/>
              </w:rPr>
              <w:t xml:space="preserve">M.B.A. – Financial Management</w:t>
            </w:r>
          </w:p>
        </w:tc>
      </w:tr>
    </w:tbl>
    <w:p>
      <w:pPr>
        <w:spacing w:before="0" w:after="0"/>
      </w:pPr>
      <w:r>
        <w:rPr>
          <w:sz w:val="20"/>
        </w:rPr>
        <w:t/>
      </w:r>
    </w:p>
    <w:p>
      <w:r>
        <w:br w:type="page"/>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0" w:type="dxa"/>
          <w:left w:w="160" w:type="dxa"/>
          <w:bottom w:w="140" w:type="dxa"/>
          <w:right w:w="120" w:type="dxa"/>
        </w:tblCellMar>
      </w:tblPr>
      <w:tblGrid>
        <w:gridCol w:w="192"/>
        <w:gridCol w:w="9426"/>
      </w:tblGrid>
      <w:tr>
        <w:trPr>
          <w:cantSplit/>
        </w:trPr>
        <w:tc>
          <w:tcPr>
            <w:tcW w:w="192" w:type="dxa"/>
            <w:shd w:val="clear" w:color="auto" w:fill="122F5C"/>
            <w:vAlign w:val="center"/>
          </w:tcPr>
          <w:p>
            <w:pPr>
              <w:spacing w:before="0" w:after="0"/>
            </w:pPr>
          </w:p>
        </w:tc>
        <w:tc>
          <w:tcPr>
            <w:tcW w:w="9426" w:type="dxa"/>
            <w:shd w:val="clear" w:color="auto" w:fill="122F5C"/>
            <w:vAlign w:val="center"/>
          </w:tcPr>
          <w:p>
            <w:pPr>
              <w:spacing w:before="60" w:after="0"/>
            </w:pPr>
            <w:r>
              <w:rPr>
                <w:rFonts w:ascii="Arial" w:hAnsi="Arial" w:cs="Arial"/>
                <w:b/>
                <w:color w:val="FFFFFF"/>
                <w:sz w:val="38"/>
                <w:szCs w:val="38"/>
              </w:rPr>
              <w:t xml:space="preserve">BIBLIOGRAPHY</w:t>
            </w:r>
          </w:p>
        </w:tc>
      </w:tr>
    </w:tbl>
    <w:p>
      <w:pPr>
        <w:pBdr>
          <w:bottom w:val="single" w:sz="18" w:space="2" w:color="E87A1E"/>
        </w:pBdr>
        <w:spacing w:before="0" w:after="0"/>
      </w:pPr>
    </w:p>
    <w:p>
      <w:pPr>
        <w:spacing w:before="140" w:after="160" w:line="280" w:lineRule="auto"/>
        <w:jc w:val="both"/>
      </w:pPr>
      <w:r>
        <w:rPr>
          <w:rFonts w:ascii="Times New Roman" w:hAnsi="Times New Roman" w:cs="Times New Roman"/>
          <w:i/>
          <w:color w:val="444A55"/>
          <w:sz w:val="21"/>
          <w:szCs w:val="21"/>
        </w:rPr>
        <w:t xml:space="preserve">Books, journals, statutory material and electronic sources consulted in the preparation of this report.</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A.  Books</w:t>
      </w:r>
    </w:p>
    <w:p>
      <w:pPr>
        <w:spacing w:before="0" w:after="110" w:line="250" w:lineRule="auto"/>
        <w:ind w:left="400" w:right="0" w:hanging="400"/>
      </w:pPr>
      <w:r>
        <w:rPr>
          <w:rFonts w:ascii="Times New Roman" w:hAnsi="Times New Roman" w:cs="Times New Roman"/>
          <w:color w:val="1A1A1A"/>
          <w:sz w:val="19"/>
          <w:szCs w:val="19"/>
        </w:rPr>
        <w:t xml:space="preserve">Khan, M. Y. and Jain, P. K. (2022). </w:t>
      </w:r>
      <w:r>
        <w:rPr>
          <w:rFonts w:ascii="Times New Roman" w:hAnsi="Times New Roman" w:cs="Times New Roman"/>
          <w:i/>
          <w:color w:val="1A1A1A"/>
          <w:sz w:val="19"/>
          <w:szCs w:val="19"/>
        </w:rPr>
        <w:t xml:space="preserve">Financial Management: Text, Problems and Cases</w:t>
      </w:r>
      <w:r>
        <w:rPr>
          <w:rFonts w:ascii="Times New Roman" w:hAnsi="Times New Roman" w:cs="Times New Roman"/>
          <w:color w:val="1A1A1A"/>
          <w:sz w:val="19"/>
          <w:szCs w:val="19"/>
        </w:rPr>
        <w:t xml:space="preserve">, 8th edition. New Delhi: McGraw Hill Education.</w:t>
      </w:r>
    </w:p>
    <w:p>
      <w:pPr>
        <w:spacing w:before="0" w:after="110" w:line="250" w:lineRule="auto"/>
        <w:ind w:left="400" w:right="0" w:hanging="400"/>
      </w:pPr>
      <w:r>
        <w:rPr>
          <w:rFonts w:ascii="Times New Roman" w:hAnsi="Times New Roman" w:cs="Times New Roman"/>
          <w:color w:val="1A1A1A"/>
          <w:sz w:val="19"/>
          <w:szCs w:val="19"/>
        </w:rPr>
        <w:t xml:space="preserve">Pandey, I. M. (2021). </w:t>
      </w:r>
      <w:r>
        <w:rPr>
          <w:rFonts w:ascii="Times New Roman" w:hAnsi="Times New Roman" w:cs="Times New Roman"/>
          <w:i/>
          <w:color w:val="1A1A1A"/>
          <w:sz w:val="19"/>
          <w:szCs w:val="19"/>
        </w:rPr>
        <w:t xml:space="preserve">Financial Management</w:t>
      </w:r>
      <w:r>
        <w:rPr>
          <w:rFonts w:ascii="Times New Roman" w:hAnsi="Times New Roman" w:cs="Times New Roman"/>
          <w:color w:val="1A1A1A"/>
          <w:sz w:val="19"/>
          <w:szCs w:val="19"/>
        </w:rPr>
        <w:t xml:space="preserve">, 12th edition. Noida: Pearson India Education Services.</w:t>
      </w:r>
    </w:p>
    <w:p>
      <w:pPr>
        <w:spacing w:before="0" w:after="110" w:line="250" w:lineRule="auto"/>
        <w:ind w:left="400" w:right="0" w:hanging="400"/>
      </w:pPr>
      <w:r>
        <w:rPr>
          <w:rFonts w:ascii="Times New Roman" w:hAnsi="Times New Roman" w:cs="Times New Roman"/>
          <w:color w:val="1A1A1A"/>
          <w:sz w:val="19"/>
          <w:szCs w:val="19"/>
        </w:rPr>
        <w:t xml:space="preserve">Chandra, Prasanna (2019). </w:t>
      </w:r>
      <w:r>
        <w:rPr>
          <w:rFonts w:ascii="Times New Roman" w:hAnsi="Times New Roman" w:cs="Times New Roman"/>
          <w:i/>
          <w:color w:val="1A1A1A"/>
          <w:sz w:val="19"/>
          <w:szCs w:val="19"/>
        </w:rPr>
        <w:t xml:space="preserve">Financial Management: Theory and Practice</w:t>
      </w:r>
      <w:r>
        <w:rPr>
          <w:rFonts w:ascii="Times New Roman" w:hAnsi="Times New Roman" w:cs="Times New Roman"/>
          <w:color w:val="1A1A1A"/>
          <w:sz w:val="19"/>
          <w:szCs w:val="19"/>
        </w:rPr>
        <w:t xml:space="preserve">, 10th edition. Chennai: McGraw Hill Education.</w:t>
      </w:r>
    </w:p>
    <w:p>
      <w:pPr>
        <w:spacing w:before="0" w:after="110" w:line="250" w:lineRule="auto"/>
        <w:ind w:left="400" w:right="0" w:hanging="400"/>
      </w:pPr>
      <w:r>
        <w:rPr>
          <w:rFonts w:ascii="Times New Roman" w:hAnsi="Times New Roman" w:cs="Times New Roman"/>
          <w:color w:val="1A1A1A"/>
          <w:sz w:val="19"/>
          <w:szCs w:val="19"/>
        </w:rPr>
        <w:t xml:space="preserve">Maheshwari, S. N., Maheshwari, S. K. and Maheshwari, C. B. (2021). </w:t>
      </w:r>
      <w:r>
        <w:rPr>
          <w:rFonts w:ascii="Times New Roman" w:hAnsi="Times New Roman" w:cs="Times New Roman"/>
          <w:i/>
          <w:color w:val="1A1A1A"/>
          <w:sz w:val="19"/>
          <w:szCs w:val="19"/>
        </w:rPr>
        <w:t xml:space="preserve">Principles of Management Accounting</w:t>
      </w:r>
      <w:r>
        <w:rPr>
          <w:rFonts w:ascii="Times New Roman" w:hAnsi="Times New Roman" w:cs="Times New Roman"/>
          <w:color w:val="1A1A1A"/>
          <w:sz w:val="19"/>
          <w:szCs w:val="19"/>
        </w:rPr>
        <w:t xml:space="preserve">, 20th edition. New Delhi: Sultan Chand and Sons.</w:t>
      </w:r>
    </w:p>
    <w:p>
      <w:pPr>
        <w:spacing w:before="0" w:after="110" w:line="250" w:lineRule="auto"/>
        <w:ind w:left="400" w:right="0" w:hanging="400"/>
      </w:pPr>
      <w:r>
        <w:rPr>
          <w:rFonts w:ascii="Times New Roman" w:hAnsi="Times New Roman" w:cs="Times New Roman"/>
          <w:color w:val="1A1A1A"/>
          <w:sz w:val="19"/>
          <w:szCs w:val="19"/>
        </w:rPr>
        <w:t xml:space="preserve">Horngren, C. T., Datar, S. M. and Rajan, M. V. (2018). </w:t>
      </w:r>
      <w:r>
        <w:rPr>
          <w:rFonts w:ascii="Times New Roman" w:hAnsi="Times New Roman" w:cs="Times New Roman"/>
          <w:i/>
          <w:color w:val="1A1A1A"/>
          <w:sz w:val="19"/>
          <w:szCs w:val="19"/>
        </w:rPr>
        <w:t xml:space="preserve">Cost Accounting: A Managerial Emphasis</w:t>
      </w:r>
      <w:r>
        <w:rPr>
          <w:rFonts w:ascii="Times New Roman" w:hAnsi="Times New Roman" w:cs="Times New Roman"/>
          <w:color w:val="1A1A1A"/>
          <w:sz w:val="19"/>
          <w:szCs w:val="19"/>
        </w:rPr>
        <w:t xml:space="preserve">, 16th edition. Harlow: Pearson Education.</w:t>
      </w:r>
    </w:p>
    <w:p>
      <w:pPr>
        <w:spacing w:before="0" w:after="110" w:line="250" w:lineRule="auto"/>
        <w:ind w:left="400" w:right="0" w:hanging="400"/>
      </w:pPr>
      <w:r>
        <w:rPr>
          <w:rFonts w:ascii="Times New Roman" w:hAnsi="Times New Roman" w:cs="Times New Roman"/>
          <w:color w:val="1A1A1A"/>
          <w:sz w:val="19"/>
          <w:szCs w:val="19"/>
        </w:rPr>
        <w:t xml:space="preserve">Gupta, Shashi K. and Sharma, R. K. (2020). </w:t>
      </w:r>
      <w:r>
        <w:rPr>
          <w:rFonts w:ascii="Times New Roman" w:hAnsi="Times New Roman" w:cs="Times New Roman"/>
          <w:i/>
          <w:color w:val="1A1A1A"/>
          <w:sz w:val="19"/>
          <w:szCs w:val="19"/>
        </w:rPr>
        <w:t xml:space="preserve">Management Accounting: Principles and Practice</w:t>
      </w:r>
      <w:r>
        <w:rPr>
          <w:rFonts w:ascii="Times New Roman" w:hAnsi="Times New Roman" w:cs="Times New Roman"/>
          <w:color w:val="1A1A1A"/>
          <w:sz w:val="19"/>
          <w:szCs w:val="19"/>
        </w:rPr>
        <w:t xml:space="preserve">, 14th edition. New Delhi: Kalyani Publishers.</w:t>
      </w:r>
    </w:p>
    <w:p>
      <w:pPr>
        <w:spacing w:before="0" w:after="110" w:line="250" w:lineRule="auto"/>
        <w:ind w:left="400" w:right="0" w:hanging="400"/>
      </w:pPr>
      <w:r>
        <w:rPr>
          <w:rFonts w:ascii="Times New Roman" w:hAnsi="Times New Roman" w:cs="Times New Roman"/>
          <w:color w:val="1A1A1A"/>
          <w:sz w:val="19"/>
          <w:szCs w:val="19"/>
        </w:rPr>
        <w:t xml:space="preserve">Brigham, E. F. and Ehrhardt, M. C. (2020). </w:t>
      </w:r>
      <w:r>
        <w:rPr>
          <w:rFonts w:ascii="Times New Roman" w:hAnsi="Times New Roman" w:cs="Times New Roman"/>
          <w:i/>
          <w:color w:val="1A1A1A"/>
          <w:sz w:val="19"/>
          <w:szCs w:val="19"/>
        </w:rPr>
        <w:t xml:space="preserve">Financial Management: Theory and Practice</w:t>
      </w:r>
      <w:r>
        <w:rPr>
          <w:rFonts w:ascii="Times New Roman" w:hAnsi="Times New Roman" w:cs="Times New Roman"/>
          <w:color w:val="1A1A1A"/>
          <w:sz w:val="19"/>
          <w:szCs w:val="19"/>
        </w:rPr>
        <w:t xml:space="preserve">, 16th edition. Boston: Cengage Learning.</w:t>
      </w:r>
    </w:p>
    <w:p>
      <w:pPr>
        <w:spacing w:before="0" w:after="110" w:line="250" w:lineRule="auto"/>
        <w:ind w:left="400" w:right="0" w:hanging="400"/>
      </w:pPr>
      <w:r>
        <w:rPr>
          <w:rFonts w:ascii="Times New Roman" w:hAnsi="Times New Roman" w:cs="Times New Roman"/>
          <w:color w:val="1A1A1A"/>
          <w:sz w:val="19"/>
          <w:szCs w:val="19"/>
        </w:rPr>
        <w:t xml:space="preserve">Kothari, C. R. and Garg, Gaurav (2019). </w:t>
      </w:r>
      <w:r>
        <w:rPr>
          <w:rFonts w:ascii="Times New Roman" w:hAnsi="Times New Roman" w:cs="Times New Roman"/>
          <w:i/>
          <w:color w:val="1A1A1A"/>
          <w:sz w:val="19"/>
          <w:szCs w:val="19"/>
        </w:rPr>
        <w:t xml:space="preserve">Research Methodology: Methods and Techniques</w:t>
      </w:r>
      <w:r>
        <w:rPr>
          <w:rFonts w:ascii="Times New Roman" w:hAnsi="Times New Roman" w:cs="Times New Roman"/>
          <w:color w:val="1A1A1A"/>
          <w:sz w:val="19"/>
          <w:szCs w:val="19"/>
        </w:rPr>
        <w:t xml:space="preserve">, 4th edition. New Delhi: New Age International Publishers.</w:t>
      </w:r>
    </w:p>
    <w:p>
      <w:pPr>
        <w:spacing w:before="0" w:after="110" w:line="250" w:lineRule="auto"/>
        <w:ind w:left="400" w:right="0" w:hanging="400"/>
      </w:pPr>
      <w:r>
        <w:rPr>
          <w:rFonts w:ascii="Times New Roman" w:hAnsi="Times New Roman" w:cs="Times New Roman"/>
          <w:color w:val="1A1A1A"/>
          <w:sz w:val="19"/>
          <w:szCs w:val="19"/>
        </w:rPr>
        <w:t xml:space="preserve">Van Horne, J. C. and Wachowicz, J. M. (2018). </w:t>
      </w:r>
      <w:r>
        <w:rPr>
          <w:rFonts w:ascii="Times New Roman" w:hAnsi="Times New Roman" w:cs="Times New Roman"/>
          <w:i/>
          <w:color w:val="1A1A1A"/>
          <w:sz w:val="19"/>
          <w:szCs w:val="19"/>
        </w:rPr>
        <w:t xml:space="preserve">Fundamentals of Financial Management</w:t>
      </w:r>
      <w:r>
        <w:rPr>
          <w:rFonts w:ascii="Times New Roman" w:hAnsi="Times New Roman" w:cs="Times New Roman"/>
          <w:color w:val="1A1A1A"/>
          <w:sz w:val="19"/>
          <w:szCs w:val="19"/>
        </w:rPr>
        <w:t xml:space="preserve">, 13th edition. Harlow: Pearson Education.</w:t>
      </w:r>
    </w:p>
    <w:p>
      <w:pPr>
        <w:spacing w:before="0" w:after="110" w:line="250" w:lineRule="auto"/>
        <w:ind w:left="400" w:right="0" w:hanging="400"/>
      </w:pPr>
      <w:r>
        <w:rPr>
          <w:rFonts w:ascii="Times New Roman" w:hAnsi="Times New Roman" w:cs="Times New Roman"/>
          <w:color w:val="1A1A1A"/>
          <w:sz w:val="19"/>
          <w:szCs w:val="19"/>
        </w:rPr>
        <w:t xml:space="preserve">Bhattacharyya, Debarshi (2021). </w:t>
      </w:r>
      <w:r>
        <w:rPr>
          <w:rFonts w:ascii="Times New Roman" w:hAnsi="Times New Roman" w:cs="Times New Roman"/>
          <w:i/>
          <w:color w:val="1A1A1A"/>
          <w:sz w:val="19"/>
          <w:szCs w:val="19"/>
        </w:rPr>
        <w:t xml:space="preserve">Management Accounting</w:t>
      </w:r>
      <w:r>
        <w:rPr>
          <w:rFonts w:ascii="Times New Roman" w:hAnsi="Times New Roman" w:cs="Times New Roman"/>
          <w:color w:val="1A1A1A"/>
          <w:sz w:val="19"/>
          <w:szCs w:val="19"/>
        </w:rPr>
        <w:t xml:space="preserve">, 2nd edition. Noida: Pearson India Education Services.</w:t>
      </w:r>
    </w:p>
    <w:p>
      <w:pPr>
        <w:spacing w:before="0" w:after="110" w:line="250" w:lineRule="auto"/>
        <w:ind w:left="400" w:right="0" w:hanging="400"/>
      </w:pPr>
      <w:r>
        <w:rPr>
          <w:rFonts w:ascii="Times New Roman" w:hAnsi="Times New Roman" w:cs="Times New Roman"/>
          <w:color w:val="1A1A1A"/>
          <w:sz w:val="19"/>
          <w:szCs w:val="19"/>
        </w:rPr>
        <w:t xml:space="preserve">Narayanaswamy, R. (2022). </w:t>
      </w:r>
      <w:r>
        <w:rPr>
          <w:rFonts w:ascii="Times New Roman" w:hAnsi="Times New Roman" w:cs="Times New Roman"/>
          <w:i/>
          <w:color w:val="1A1A1A"/>
          <w:sz w:val="19"/>
          <w:szCs w:val="19"/>
        </w:rPr>
        <w:t xml:space="preserve">Financial Accounting: A Managerial Perspective</w:t>
      </w:r>
      <w:r>
        <w:rPr>
          <w:rFonts w:ascii="Times New Roman" w:hAnsi="Times New Roman" w:cs="Times New Roman"/>
          <w:color w:val="1A1A1A"/>
          <w:sz w:val="19"/>
          <w:szCs w:val="19"/>
        </w:rPr>
        <w:t xml:space="preserve">, 7th edition. New Delhi: PHI Learning.</w:t>
      </w:r>
    </w:p>
    <w:p>
      <w:pPr>
        <w:spacing w:before="0" w:after="110" w:line="250" w:lineRule="auto"/>
        <w:ind w:left="400" w:right="0" w:hanging="400"/>
      </w:pPr>
      <w:r>
        <w:rPr>
          <w:rFonts w:ascii="Times New Roman" w:hAnsi="Times New Roman" w:cs="Times New Roman"/>
          <w:color w:val="1A1A1A"/>
          <w:sz w:val="19"/>
          <w:szCs w:val="19"/>
        </w:rPr>
        <w:t xml:space="preserve">Damodaran, Aswath (2015). </w:t>
      </w:r>
      <w:r>
        <w:rPr>
          <w:rFonts w:ascii="Times New Roman" w:hAnsi="Times New Roman" w:cs="Times New Roman"/>
          <w:i/>
          <w:color w:val="1A1A1A"/>
          <w:sz w:val="19"/>
          <w:szCs w:val="19"/>
        </w:rPr>
        <w:t xml:space="preserve">Applied Corporate Finance</w:t>
      </w:r>
      <w:r>
        <w:rPr>
          <w:rFonts w:ascii="Times New Roman" w:hAnsi="Times New Roman" w:cs="Times New Roman"/>
          <w:color w:val="1A1A1A"/>
          <w:sz w:val="19"/>
          <w:szCs w:val="19"/>
        </w:rPr>
        <w:t xml:space="preserve">, 4th edition. Hoboken: John Wiley and Sons.</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B.  Journals and Periodicals</w:t>
      </w:r>
    </w:p>
    <w:p>
      <w:pPr>
        <w:spacing w:before="0" w:after="110" w:line="250" w:lineRule="auto"/>
        <w:ind w:left="400" w:right="0" w:hanging="400"/>
      </w:pPr>
      <w:r>
        <w:rPr>
          <w:rFonts w:ascii="Times New Roman" w:hAnsi="Times New Roman" w:cs="Times New Roman"/>
          <w:i/>
          <w:color w:val="1A1A1A"/>
          <w:sz w:val="19"/>
          <w:szCs w:val="19"/>
        </w:rPr>
        <w:t xml:space="preserve">The Chartered Accountant</w:t>
      </w:r>
      <w:r>
        <w:rPr>
          <w:rFonts w:ascii="Times New Roman" w:hAnsi="Times New Roman" w:cs="Times New Roman"/>
          <w:color w:val="1A1A1A"/>
          <w:sz w:val="19"/>
          <w:szCs w:val="19"/>
        </w:rPr>
        <w:t xml:space="preserve">, monthly journal of the Institute of Chartered Accountants of India, New Delhi.</w:t>
      </w:r>
    </w:p>
    <w:p>
      <w:pPr>
        <w:spacing w:before="0" w:after="110" w:line="250" w:lineRule="auto"/>
        <w:ind w:left="400" w:right="0" w:hanging="400"/>
      </w:pPr>
      <w:r>
        <w:rPr>
          <w:rFonts w:ascii="Times New Roman" w:hAnsi="Times New Roman" w:cs="Times New Roman"/>
          <w:i/>
          <w:color w:val="1A1A1A"/>
          <w:sz w:val="19"/>
          <w:szCs w:val="19"/>
        </w:rPr>
        <w:t xml:space="preserve">The Management Accountant</w:t>
      </w:r>
      <w:r>
        <w:rPr>
          <w:rFonts w:ascii="Times New Roman" w:hAnsi="Times New Roman" w:cs="Times New Roman"/>
          <w:color w:val="1A1A1A"/>
          <w:sz w:val="19"/>
          <w:szCs w:val="19"/>
        </w:rPr>
        <w:t xml:space="preserve">, monthly journal of the Institute of Cost Accountants of India, Kolkata.</w:t>
      </w:r>
    </w:p>
    <w:p>
      <w:pPr>
        <w:spacing w:before="0" w:after="110" w:line="250" w:lineRule="auto"/>
        <w:ind w:left="400" w:right="0" w:hanging="400"/>
      </w:pPr>
      <w:r>
        <w:rPr>
          <w:rFonts w:ascii="Times New Roman" w:hAnsi="Times New Roman" w:cs="Times New Roman"/>
          <w:i/>
          <w:color w:val="1A1A1A"/>
          <w:sz w:val="19"/>
          <w:szCs w:val="19"/>
        </w:rPr>
        <w:t xml:space="preserve">Indian Journal of Finance and Banking</w:t>
      </w:r>
      <w:r>
        <w:rPr>
          <w:rFonts w:ascii="Times New Roman" w:hAnsi="Times New Roman" w:cs="Times New Roman"/>
          <w:color w:val="1A1A1A"/>
          <w:sz w:val="19"/>
          <w:szCs w:val="19"/>
        </w:rPr>
        <w:t xml:space="preserve">, selected issues on working capital management in small and medium enterprises.</w:t>
      </w:r>
    </w:p>
    <w:p>
      <w:pPr>
        <w:spacing w:before="0" w:after="110" w:line="250" w:lineRule="auto"/>
        <w:ind w:left="400" w:right="0" w:hanging="400"/>
      </w:pPr>
      <w:r>
        <w:rPr>
          <w:rFonts w:ascii="Times New Roman" w:hAnsi="Times New Roman" w:cs="Times New Roman"/>
          <w:i/>
          <w:color w:val="1A1A1A"/>
          <w:sz w:val="19"/>
          <w:szCs w:val="19"/>
        </w:rPr>
        <w:t xml:space="preserve">Vikalpa: The Journal for Decision Makers</w:t>
      </w:r>
      <w:r>
        <w:rPr>
          <w:rFonts w:ascii="Times New Roman" w:hAnsi="Times New Roman" w:cs="Times New Roman"/>
          <w:color w:val="1A1A1A"/>
          <w:sz w:val="19"/>
          <w:szCs w:val="19"/>
        </w:rPr>
        <w:t xml:space="preserve">, Indian Institute of Management Ahmedabad, selected articles on cost behaviour in service enterprises.</w:t>
      </w:r>
    </w:p>
    <w:p>
      <w:pPr>
        <w:spacing w:before="0" w:after="110" w:line="250" w:lineRule="auto"/>
        <w:ind w:left="400" w:right="0" w:hanging="400"/>
      </w:pPr>
      <w:r>
        <w:rPr>
          <w:rFonts w:ascii="Times New Roman" w:hAnsi="Times New Roman" w:cs="Times New Roman"/>
          <w:i/>
          <w:color w:val="1A1A1A"/>
          <w:sz w:val="19"/>
          <w:szCs w:val="19"/>
        </w:rPr>
        <w:t xml:space="preserve">Economic and Political Weekly</w:t>
      </w:r>
      <w:r>
        <w:rPr>
          <w:rFonts w:ascii="Times New Roman" w:hAnsi="Times New Roman" w:cs="Times New Roman"/>
          <w:color w:val="1A1A1A"/>
          <w:sz w:val="19"/>
          <w:szCs w:val="19"/>
        </w:rPr>
        <w:t xml:space="preserve">, selected articles on skill development and employability in eastern India.</w:t>
      </w:r>
    </w:p>
    <w:p>
      <w:pPr>
        <w:spacing w:before="0" w:after="110" w:line="250" w:lineRule="auto"/>
        <w:ind w:left="400" w:right="0" w:hanging="400"/>
      </w:pPr>
      <w:r>
        <w:rPr>
          <w:rFonts w:ascii="Times New Roman" w:hAnsi="Times New Roman" w:cs="Times New Roman"/>
          <w:i/>
          <w:color w:val="1A1A1A"/>
          <w:sz w:val="19"/>
          <w:szCs w:val="19"/>
        </w:rPr>
        <w:t xml:space="preserve">Business Standard</w:t>
      </w:r>
      <w:r>
        <w:rPr>
          <w:rFonts w:ascii="Times New Roman" w:hAnsi="Times New Roman" w:cs="Times New Roman"/>
          <w:color w:val="1A1A1A"/>
          <w:sz w:val="19"/>
          <w:szCs w:val="19"/>
        </w:rPr>
        <w:t xml:space="preserve"> and </w:t>
      </w:r>
      <w:r>
        <w:rPr>
          <w:rFonts w:ascii="Times New Roman" w:hAnsi="Times New Roman" w:cs="Times New Roman"/>
          <w:i/>
          <w:color w:val="1A1A1A"/>
          <w:sz w:val="19"/>
          <w:szCs w:val="19"/>
        </w:rPr>
        <w:t xml:space="preserve">The Economic Times</w:t>
      </w:r>
      <w:r>
        <w:rPr>
          <w:rFonts w:ascii="Times New Roman" w:hAnsi="Times New Roman" w:cs="Times New Roman"/>
          <w:color w:val="1A1A1A"/>
          <w:sz w:val="19"/>
          <w:szCs w:val="19"/>
        </w:rPr>
        <w:t xml:space="preserve">, selected reports on the Indian education technology and employability services sector, 2024 to 2026.</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C.  Statutory and Regulatory Material</w:t>
      </w:r>
    </w:p>
    <w:p>
      <w:pPr>
        <w:spacing w:before="0" w:after="110" w:line="250" w:lineRule="auto"/>
        <w:ind w:left="400" w:right="0" w:hanging="400"/>
      </w:pPr>
      <w:r>
        <w:rPr>
          <w:rFonts w:ascii="Times New Roman" w:hAnsi="Times New Roman" w:cs="Times New Roman"/>
          <w:color w:val="1A1A1A"/>
          <w:sz w:val="19"/>
          <w:szCs w:val="19"/>
        </w:rPr>
        <w:t xml:space="preserve">Government of India (2013). </w:t>
      </w:r>
      <w:r>
        <w:rPr>
          <w:rFonts w:ascii="Times New Roman" w:hAnsi="Times New Roman" w:cs="Times New Roman"/>
          <w:i/>
          <w:color w:val="1A1A1A"/>
          <w:sz w:val="19"/>
          <w:szCs w:val="19"/>
        </w:rPr>
        <w:t xml:space="preserve">The Companies Act, 2013</w:t>
      </w:r>
      <w:r>
        <w:rPr>
          <w:rFonts w:ascii="Times New Roman" w:hAnsi="Times New Roman" w:cs="Times New Roman"/>
          <w:color w:val="1A1A1A"/>
          <w:sz w:val="19"/>
          <w:szCs w:val="19"/>
        </w:rPr>
        <w:t xml:space="preserve">, as amended, with particular reference to Schedule III on the form of the Balance Sheet and Statement of Profit and Loss.</w:t>
      </w:r>
    </w:p>
    <w:p>
      <w:pPr>
        <w:spacing w:before="0" w:after="110" w:line="250" w:lineRule="auto"/>
        <w:ind w:left="400" w:right="0" w:hanging="400"/>
      </w:pPr>
      <w:r>
        <w:rPr>
          <w:rFonts w:ascii="Times New Roman" w:hAnsi="Times New Roman" w:cs="Times New Roman"/>
          <w:color w:val="1A1A1A"/>
          <w:sz w:val="19"/>
          <w:szCs w:val="19"/>
        </w:rPr>
        <w:t xml:space="preserve">Institute of Chartered Accountants of India. </w:t>
      </w:r>
      <w:r>
        <w:rPr>
          <w:rFonts w:ascii="Times New Roman" w:hAnsi="Times New Roman" w:cs="Times New Roman"/>
          <w:i/>
          <w:color w:val="1A1A1A"/>
          <w:sz w:val="19"/>
          <w:szCs w:val="19"/>
        </w:rPr>
        <w:t xml:space="preserve">Accounting Standard 3: Cash Flow Statements</w:t>
      </w:r>
      <w:r>
        <w:rPr>
          <w:rFonts w:ascii="Times New Roman" w:hAnsi="Times New Roman" w:cs="Times New Roman"/>
          <w:color w:val="1A1A1A"/>
          <w:sz w:val="19"/>
          <w:szCs w:val="19"/>
        </w:rPr>
        <w:t xml:space="preserve">, applied in the preparation of the statement in Section 4.6.</w:t>
      </w:r>
    </w:p>
    <w:p>
      <w:pPr>
        <w:spacing w:before="0" w:after="110" w:line="250" w:lineRule="auto"/>
        <w:ind w:left="400" w:right="0" w:hanging="400"/>
      </w:pPr>
      <w:r>
        <w:rPr>
          <w:rFonts w:ascii="Times New Roman" w:hAnsi="Times New Roman" w:cs="Times New Roman"/>
          <w:color w:val="1A1A1A"/>
          <w:sz w:val="19"/>
          <w:szCs w:val="19"/>
        </w:rPr>
        <w:t xml:space="preserve">Institute of Chartered Accountants of India. </w:t>
      </w:r>
      <w:r>
        <w:rPr>
          <w:rFonts w:ascii="Times New Roman" w:hAnsi="Times New Roman" w:cs="Times New Roman"/>
          <w:i/>
          <w:color w:val="1A1A1A"/>
          <w:sz w:val="19"/>
          <w:szCs w:val="19"/>
        </w:rPr>
        <w:t xml:space="preserve">Guidance Note on Reporting under Schedule III</w:t>
      </w:r>
      <w:r>
        <w:rPr>
          <w:rFonts w:ascii="Times New Roman" w:hAnsi="Times New Roman" w:cs="Times New Roman"/>
          <w:color w:val="1A1A1A"/>
          <w:sz w:val="19"/>
          <w:szCs w:val="19"/>
        </w:rPr>
        <w:t xml:space="preserve">, referred to for classification of current and non-current items.</w:t>
      </w:r>
    </w:p>
    <w:p>
      <w:pPr>
        <w:spacing w:before="0" w:after="110" w:line="250" w:lineRule="auto"/>
        <w:ind w:left="400" w:right="0" w:hanging="400"/>
      </w:pPr>
      <w:r>
        <w:rPr>
          <w:rFonts w:ascii="Times New Roman" w:hAnsi="Times New Roman" w:cs="Times New Roman"/>
          <w:color w:val="1A1A1A"/>
          <w:sz w:val="19"/>
          <w:szCs w:val="19"/>
        </w:rPr>
        <w:t xml:space="preserve">Government of India (2017). </w:t>
      </w:r>
      <w:r>
        <w:rPr>
          <w:rFonts w:ascii="Times New Roman" w:hAnsi="Times New Roman" w:cs="Times New Roman"/>
          <w:i/>
          <w:color w:val="1A1A1A"/>
          <w:sz w:val="19"/>
          <w:szCs w:val="19"/>
        </w:rPr>
        <w:t xml:space="preserve">The Central Goods and Services Tax Act, 2017</w:t>
      </w:r>
      <w:r>
        <w:rPr>
          <w:rFonts w:ascii="Times New Roman" w:hAnsi="Times New Roman" w:cs="Times New Roman"/>
          <w:color w:val="1A1A1A"/>
          <w:sz w:val="19"/>
          <w:szCs w:val="19"/>
        </w:rPr>
        <w:t xml:space="preserve">, referred to in connection with the compliance cycle described in Section 2.6.</w:t>
      </w:r>
    </w:p>
    <w:p>
      <w:pPr>
        <w:spacing w:before="0" w:after="110" w:line="250" w:lineRule="auto"/>
        <w:ind w:left="400" w:right="0" w:hanging="400"/>
      </w:pPr>
      <w:r>
        <w:rPr>
          <w:rFonts w:ascii="Times New Roman" w:hAnsi="Times New Roman" w:cs="Times New Roman"/>
          <w:color w:val="1A1A1A"/>
          <w:sz w:val="19"/>
          <w:szCs w:val="19"/>
        </w:rPr>
        <w:t xml:space="preserve">Ministry of Micro, Small and Medium Enterprises, Government of India. </w:t>
      </w:r>
      <w:r>
        <w:rPr>
          <w:rFonts w:ascii="Times New Roman" w:hAnsi="Times New Roman" w:cs="Times New Roman"/>
          <w:i/>
          <w:color w:val="1A1A1A"/>
          <w:sz w:val="19"/>
          <w:szCs w:val="19"/>
        </w:rPr>
        <w:t xml:space="preserve">Annual Report 2024-25</w:t>
      </w:r>
      <w:r>
        <w:rPr>
          <w:rFonts w:ascii="Times New Roman" w:hAnsi="Times New Roman" w:cs="Times New Roman"/>
          <w:color w:val="1A1A1A"/>
          <w:sz w:val="19"/>
          <w:szCs w:val="19"/>
        </w:rPr>
        <w:t xml:space="preserve">, referred to for context on small enterprise finance.</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D.  Electronic and Institutional Sources</w:t>
      </w:r>
    </w:p>
    <w:p>
      <w:pPr>
        <w:spacing w:before="0" w:after="110" w:line="250" w:lineRule="auto"/>
        <w:ind w:left="400" w:right="0" w:hanging="400"/>
      </w:pPr>
      <w:r>
        <w:rPr>
          <w:rFonts w:ascii="Times New Roman" w:hAnsi="Times New Roman" w:cs="Times New Roman"/>
          <w:color w:val="1A1A1A"/>
          <w:sz w:val="19"/>
          <w:szCs w:val="19"/>
        </w:rPr>
        <w:t xml:space="preserve">Ministry of Corporate Affairs, Government of India — www.mca.gov.in, referred to for the statutory framework applicable to private limited companies.</w:t>
      </w:r>
    </w:p>
    <w:p>
      <w:pPr>
        <w:spacing w:before="0" w:after="110" w:line="250" w:lineRule="auto"/>
        <w:ind w:left="400" w:right="0" w:hanging="400"/>
      </w:pPr>
      <w:r>
        <w:rPr>
          <w:rFonts w:ascii="Times New Roman" w:hAnsi="Times New Roman" w:cs="Times New Roman"/>
          <w:color w:val="1A1A1A"/>
          <w:sz w:val="19"/>
          <w:szCs w:val="19"/>
        </w:rPr>
        <w:t xml:space="preserve">Institute of Chartered Accountants of India — www.icai.org, referred to for accounting standards and guidance notes.</w:t>
      </w:r>
    </w:p>
    <w:p>
      <w:pPr>
        <w:spacing w:before="0" w:after="110" w:line="250" w:lineRule="auto"/>
        <w:ind w:left="400" w:right="0" w:hanging="400"/>
      </w:pPr>
      <w:r>
        <w:rPr>
          <w:rFonts w:ascii="Times New Roman" w:hAnsi="Times New Roman" w:cs="Times New Roman"/>
          <w:color w:val="1A1A1A"/>
          <w:sz w:val="19"/>
          <w:szCs w:val="19"/>
        </w:rPr>
        <w:t xml:space="preserve">Reserve Bank of India — www.rbi.org.in, referred to for prevailing interest rate context in assessing the cost of debt.</w:t>
      </w:r>
    </w:p>
    <w:p>
      <w:pPr>
        <w:spacing w:before="0" w:after="110" w:line="250" w:lineRule="auto"/>
        <w:ind w:left="400" w:right="0" w:hanging="400"/>
      </w:pPr>
      <w:r>
        <w:rPr>
          <w:rFonts w:ascii="Times New Roman" w:hAnsi="Times New Roman" w:cs="Times New Roman"/>
          <w:color w:val="1A1A1A"/>
          <w:sz w:val="19"/>
          <w:szCs w:val="19"/>
        </w:rPr>
        <w:t xml:space="preserve">Department for Promotion of Industry and Internal Trade, Startup India — www.startupindia.gov.in, referred to for the policy framework applicable to incubated ventures.</w:t>
      </w:r>
    </w:p>
    <w:p>
      <w:pPr>
        <w:spacing w:before="0" w:after="110" w:line="250" w:lineRule="auto"/>
        <w:ind w:left="400" w:right="0" w:hanging="400"/>
      </w:pPr>
      <w:r>
        <w:rPr>
          <w:rFonts w:ascii="Times New Roman" w:hAnsi="Times New Roman" w:cs="Times New Roman"/>
          <w:color w:val="1A1A1A"/>
          <w:sz w:val="19"/>
          <w:szCs w:val="19"/>
        </w:rPr>
        <w:t xml:space="preserve">Bihar Industrial Area Development Authority and the B-Hub incubation programme, Patna — referred to for the terms on which incubation facilities are provided.</w:t>
      </w:r>
    </w:p>
    <w:p>
      <w:pPr>
        <w:spacing w:before="0" w:after="110" w:line="250" w:lineRule="auto"/>
        <w:ind w:left="400" w:right="0" w:hanging="400"/>
      </w:pPr>
      <w:r>
        <w:rPr>
          <w:rFonts w:ascii="Times New Roman" w:hAnsi="Times New Roman" w:cs="Times New Roman"/>
          <w:color w:val="1A1A1A"/>
          <w:sz w:val="19"/>
          <w:szCs w:val="19"/>
        </w:rPr>
        <w:t xml:space="preserve">Magadh University, Bodh Gaya — www.magadhuniversity.ac.in, referred to for the curriculum and internship requirements of the M.B.A. programme.</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E.  Organisational Records</w:t>
      </w:r>
    </w:p>
    <w:p>
      <w:pPr>
        <w:spacing w:before="0" w:after="110" w:line="250" w:lineRule="auto"/>
        <w:ind w:left="400" w:right="0" w:hanging="400"/>
      </w:pPr>
      <w:r>
        <w:rPr>
          <w:rFonts w:ascii="Times New Roman" w:hAnsi="Times New Roman" w:cs="Times New Roman"/>
          <w:color w:val="1A1A1A"/>
          <w:sz w:val="19"/>
          <w:szCs w:val="19"/>
        </w:rPr>
        <w:t xml:space="preserve">Indicative Statement of Profit and Loss of Infinitya1 Career Counselling Private Limited for the financial years 2023-24, 2024-25 and 2025-26, made available for academic use.</w:t>
      </w:r>
    </w:p>
    <w:p>
      <w:pPr>
        <w:spacing w:before="0" w:after="110" w:line="250" w:lineRule="auto"/>
        <w:ind w:left="400" w:right="0" w:hanging="400"/>
      </w:pPr>
      <w:r>
        <w:rPr>
          <w:rFonts w:ascii="Times New Roman" w:hAnsi="Times New Roman" w:cs="Times New Roman"/>
          <w:color w:val="1A1A1A"/>
          <w:sz w:val="19"/>
          <w:szCs w:val="19"/>
        </w:rPr>
        <w:t xml:space="preserve">Indicative Balance Sheet of Infinitya1 Career Counselling Private Limited as at 31st March 2024, 2025 and 2026, made available for academic use.</w:t>
      </w:r>
    </w:p>
    <w:p>
      <w:pPr>
        <w:spacing w:before="0" w:after="110" w:line="250" w:lineRule="auto"/>
        <w:ind w:left="400" w:right="0" w:hanging="400"/>
      </w:pPr>
      <w:r>
        <w:rPr>
          <w:rFonts w:ascii="Times New Roman" w:hAnsi="Times New Roman" w:cs="Times New Roman"/>
          <w:color w:val="1A1A1A"/>
          <w:sz w:val="19"/>
          <w:szCs w:val="19"/>
        </w:rPr>
        <w:t xml:space="preserve">Internal annual budget statement for the financial year 2025-26.</w:t>
      </w:r>
    </w:p>
    <w:p>
      <w:pPr>
        <w:spacing w:before="0" w:after="110" w:line="250" w:lineRule="auto"/>
        <w:ind w:left="400" w:right="0" w:hanging="400"/>
      </w:pPr>
      <w:r>
        <w:rPr>
          <w:rFonts w:ascii="Times New Roman" w:hAnsi="Times New Roman" w:cs="Times New Roman"/>
          <w:color w:val="1A1A1A"/>
          <w:sz w:val="19"/>
          <w:szCs w:val="19"/>
        </w:rPr>
        <w:t xml:space="preserve">Cohort-wise programme cost sheets for the financial year 2025-26.</w:t>
      </w:r>
    </w:p>
    <w:p>
      <w:pPr>
        <w:spacing w:before="0" w:after="110" w:line="250" w:lineRule="auto"/>
        <w:ind w:left="400" w:right="0" w:hanging="400"/>
      </w:pPr>
      <w:r>
        <w:rPr>
          <w:rFonts w:ascii="Times New Roman" w:hAnsi="Times New Roman" w:cs="Times New Roman"/>
          <w:color w:val="1A1A1A"/>
          <w:sz w:val="19"/>
          <w:szCs w:val="19"/>
        </w:rPr>
        <w:t xml:space="preserve">Trade receivable ageing statements and collection follow-up registers.</w:t>
      </w:r>
    </w:p>
    <w:p>
      <w:pPr>
        <w:spacing w:before="0" w:after="110" w:line="250" w:lineRule="auto"/>
        <w:ind w:left="400" w:right="0" w:hanging="400"/>
      </w:pPr>
      <w:r>
        <w:rPr>
          <w:rFonts w:ascii="Times New Roman" w:hAnsi="Times New Roman" w:cs="Times New Roman"/>
          <w:color w:val="1A1A1A"/>
          <w:sz w:val="19"/>
          <w:szCs w:val="19"/>
        </w:rPr>
        <w:t xml:space="preserve">Payment gateway settlement statements for the period of the internship.</w:t>
      </w:r>
    </w:p>
    <w:p>
      <w:pPr>
        <w:spacing w:before="0" w:after="110" w:line="250" w:lineRule="auto"/>
        <w:ind w:left="400" w:right="0" w:hanging="400"/>
      </w:pPr>
      <w:r>
        <w:rPr>
          <w:rFonts w:ascii="Times New Roman" w:hAnsi="Times New Roman" w:cs="Times New Roman"/>
          <w:color w:val="1A1A1A"/>
          <w:sz w:val="19"/>
          <w:szCs w:val="19"/>
        </w:rPr>
        <w:t xml:space="preserve">Discussions and structured interviews with the management, the company mentor and the accounts, admissions and programme delivery teams, conducted between 6th June 2026 and 21st July 2026.</w:t>
      </w:r>
    </w:p>
    <w:p>
      <w:pPr>
        <w:spacing w:before="0" w:after="0"/>
      </w:pPr>
      <w:r>
        <w:rPr>
          <w:sz w:val="11"/>
        </w:rPr>
        <w:t/>
      </w:r>
    </w:p>
    <w:tbl>
      <w:tblPr>
        <w:tblW w:w="9618" w:type="dxa"/>
        <w:tblBorders>
          <w:top w:val="single" w:sz="4" w:space="0" w:color="FDEFDD"/>
          <w:left w:val="single" w:sz="24" w:space="0" w:color="E87A1E"/>
          <w:bottom w:val="single" w:sz="4" w:space="0" w:color="FDEFDD"/>
          <w:right w:val="single" w:sz="4" w:space="0" w:color="FDEFDD"/>
        </w:tblBorders>
        <w:tblCellMar>
          <w:top w:w="120" w:type="dxa"/>
          <w:left w:w="180" w:type="dxa"/>
          <w:bottom w:w="120" w:type="dxa"/>
          <w:right w:w="160" w:type="dxa"/>
        </w:tblCellMar>
      </w:tblPr>
      <w:tblGrid>
        <w:gridCol w:w="9618"/>
      </w:tblGrid>
      <w:tr>
        <w:tc>
          <w:tcPr>
            <w:tcW w:w="9618" w:type="dxa"/>
            <w:shd w:val="clear" w:color="auto" w:fill="FDEFDD"/>
          </w:tcPr>
          <w:p>
            <w:pPr>
              <w:spacing w:before="0" w:after="60"/>
            </w:pPr>
            <w:r>
              <w:rPr>
                <w:rFonts w:ascii="Arial" w:hAnsi="Arial" w:cs="Arial"/>
                <w:b/>
                <w:color w:val="E87A1E"/>
                <w:sz w:val="20"/>
                <w:szCs w:val="20"/>
              </w:rPr>
              <w:t xml:space="preserve">A Note on Citation</w:t>
            </w:r>
          </w:p>
          <w:p>
            <w:pPr>
              <w:spacing w:before="0" w:after="0" w:line="250" w:lineRule="auto"/>
              <w:jc w:val="both"/>
            </w:pPr>
            <w:r>
              <w:rPr>
                <w:rFonts w:ascii="Times New Roman" w:hAnsi="Times New Roman" w:cs="Times New Roman"/>
                <w:color w:val="1A1A1A"/>
                <w:sz w:val="19"/>
                <w:szCs w:val="19"/>
              </w:rPr>
              <w:t xml:space="preserve">Where a textbook definition or a conventional benchmark has been used in the interpretation of a ratio, the source is among the works listed under heading A. The benchmarks quoted in Chapter Six are rules of thumb drawn from those texts and are not industry averages; this is stated again in Section 6.1 and among the limitations in Section 1.8.</w:t>
            </w:r>
          </w:p>
        </w:tc>
      </w:tr>
    </w:tbl>
    <w:p>
      <w:pPr>
        <w:spacing w:before="0" w:after="0"/>
      </w:pPr>
      <w:r>
        <w:rPr>
          <w:sz w:val="12"/>
        </w:rPr>
        <w:t/>
      </w:r>
    </w:p>
    <w:p>
      <w:r>
        <w:br w:type="page"/>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0" w:type="dxa"/>
          <w:left w:w="160" w:type="dxa"/>
          <w:bottom w:w="140" w:type="dxa"/>
          <w:right w:w="120" w:type="dxa"/>
        </w:tblCellMar>
      </w:tblPr>
      <w:tblGrid>
        <w:gridCol w:w="192"/>
        <w:gridCol w:w="9426"/>
      </w:tblGrid>
      <w:tr>
        <w:trPr>
          <w:cantSplit/>
        </w:trPr>
        <w:tc>
          <w:tcPr>
            <w:tcW w:w="192" w:type="dxa"/>
            <w:shd w:val="clear" w:color="auto" w:fill="122F5C"/>
            <w:vAlign w:val="center"/>
          </w:tcPr>
          <w:p>
            <w:pPr>
              <w:spacing w:before="0" w:after="0"/>
            </w:pPr>
          </w:p>
        </w:tc>
        <w:tc>
          <w:tcPr>
            <w:tcW w:w="9426" w:type="dxa"/>
            <w:shd w:val="clear" w:color="auto" w:fill="122F5C"/>
            <w:vAlign w:val="center"/>
          </w:tcPr>
          <w:p>
            <w:pPr>
              <w:spacing w:before="60" w:after="0"/>
            </w:pPr>
            <w:r>
              <w:rPr>
                <w:rFonts w:ascii="Arial" w:hAnsi="Arial" w:cs="Arial"/>
                <w:b/>
                <w:color w:val="FFFFFF"/>
                <w:sz w:val="38"/>
                <w:szCs w:val="38"/>
              </w:rPr>
              <w:t xml:space="preserve">ANNEXURES</w:t>
            </w:r>
          </w:p>
        </w:tc>
      </w:tr>
    </w:tbl>
    <w:p>
      <w:pPr>
        <w:pBdr>
          <w:bottom w:val="single" w:sz="18" w:space="2" w:color="E87A1E"/>
        </w:pBdr>
        <w:spacing w:before="0" w:after="0"/>
      </w:pPr>
    </w:p>
    <w:p>
      <w:pPr>
        <w:spacing w:before="140" w:after="160" w:line="280" w:lineRule="auto"/>
        <w:jc w:val="both"/>
      </w:pPr>
      <w:r>
        <w:rPr>
          <w:rFonts w:ascii="Times New Roman" w:hAnsi="Times New Roman" w:cs="Times New Roman"/>
          <w:i/>
          <w:color w:val="444A55"/>
          <w:sz w:val="21"/>
          <w:szCs w:val="21"/>
        </w:rPr>
        <w:t xml:space="preserve">Supporting statements, the questionnaire used during the internship, the daily diary and the certificates relied upon.</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Annexure I — Abridged Statement of Profit and Loss</w:t>
      </w:r>
    </w:p>
    <w:p>
      <w:pPr>
        <w:keepNext/>
        <w:keepLines/>
        <w:spacing w:before="220" w:after="60"/>
      </w:pPr>
      <w:r>
        <w:rPr>
          <w:rFonts w:ascii="Arial" w:hAnsi="Arial" w:cs="Arial"/>
          <w:b/>
          <w:color w:val="E87A1E"/>
          <w:sz w:val="19"/>
          <w:szCs w:val="19"/>
        </w:rPr>
        <w:t xml:space="preserve">Table A1.1  </w:t>
      </w:r>
      <w:r>
        <w:rPr>
          <w:rFonts w:ascii="Arial" w:hAnsi="Arial" w:cs="Arial"/>
          <w:b/>
          <w:color w:val="122F5C"/>
          <w:sz w:val="19"/>
          <w:szCs w:val="19"/>
        </w:rPr>
        <w:t xml:space="preserve">Statement of Profit and Loss for three years (₹ in lakh)</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3847"/>
        <w:gridCol w:w="1923"/>
        <w:gridCol w:w="1923"/>
        <w:gridCol w:w="1925"/>
      </w:tblGrid>
      <w:tr>
        <w:trPr>
          <w:cantSplit/>
          <w:tblHeader/>
        </w:trPr>
        <w:tc>
          <w:tcPr>
            <w:tcW w:w="3847" w:type="dxa"/>
            <w:shd w:val="clear" w:color="auto" w:fill="122F5C"/>
            <w:vAlign w:val="center"/>
          </w:tcPr>
          <w:p>
            <w:pPr>
              <w:spacing w:before="0" w:after="0"/>
              <w:jc w:val="left"/>
            </w:pPr>
            <w:r>
              <w:rPr>
                <w:rFonts w:ascii="Arial" w:hAnsi="Arial" w:cs="Arial"/>
                <w:b/>
                <w:color w:val="FFFFFF"/>
                <w:sz w:val="18"/>
                <w:szCs w:val="18"/>
              </w:rPr>
              <w:t xml:space="preserve">Particulars</w:t>
            </w:r>
          </w:p>
        </w:tc>
        <w:tc>
          <w:tcPr>
            <w:tcW w:w="1923" w:type="dxa"/>
            <w:shd w:val="clear" w:color="auto" w:fill="122F5C"/>
            <w:vAlign w:val="center"/>
          </w:tcPr>
          <w:p>
            <w:pPr>
              <w:spacing w:before="0" w:after="0"/>
              <w:jc w:val="right"/>
            </w:pPr>
            <w:r>
              <w:rPr>
                <w:rFonts w:ascii="Arial" w:hAnsi="Arial" w:cs="Arial"/>
                <w:b/>
                <w:color w:val="FFFFFF"/>
                <w:sz w:val="18"/>
                <w:szCs w:val="18"/>
              </w:rPr>
              <w:t xml:space="preserve">FY 2023-24</w:t>
            </w:r>
          </w:p>
        </w:tc>
        <w:tc>
          <w:tcPr>
            <w:tcW w:w="1923" w:type="dxa"/>
            <w:shd w:val="clear" w:color="auto" w:fill="122F5C"/>
            <w:vAlign w:val="center"/>
          </w:tcPr>
          <w:p>
            <w:pPr>
              <w:spacing w:before="0" w:after="0"/>
              <w:jc w:val="right"/>
            </w:pPr>
            <w:r>
              <w:rPr>
                <w:rFonts w:ascii="Arial" w:hAnsi="Arial" w:cs="Arial"/>
                <w:b/>
                <w:color w:val="FFFFFF"/>
                <w:sz w:val="18"/>
                <w:szCs w:val="18"/>
              </w:rPr>
              <w:t xml:space="preserve">FY 2024-25</w:t>
            </w:r>
          </w:p>
        </w:tc>
        <w:tc>
          <w:tcPr>
            <w:tcW w:w="1925" w:type="dxa"/>
            <w:shd w:val="clear" w:color="auto" w:fill="122F5C"/>
            <w:vAlign w:val="center"/>
          </w:tcPr>
          <w:p>
            <w:pPr>
              <w:spacing w:before="0" w:after="0"/>
              <w:jc w:val="right"/>
            </w:pPr>
            <w:r>
              <w:rPr>
                <w:rFonts w:ascii="Arial" w:hAnsi="Arial" w:cs="Arial"/>
                <w:b/>
                <w:color w:val="FFFFFF"/>
                <w:sz w:val="18"/>
                <w:szCs w:val="18"/>
              </w:rPr>
              <w:t xml:space="preserve">FY 2025-26</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Revenue from Operations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96.40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148.75</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214.60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Other Income</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1.20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2.05</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3.40</w:t>
            </w:r>
          </w:p>
        </w:tc>
      </w:tr>
      <w:tr>
        <w:trPr>
          <w:cantSplit/>
        </w:trPr>
        <w:tc>
          <w:tcPr>
            <w:tcW w:w="3847"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Total Income</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97.60</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150.80</w:t>
            </w:r>
          </w:p>
        </w:tc>
        <w:tc>
          <w:tcPr>
            <w:tcW w:w="1925"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218.00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Direct Programme Cost</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38.20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56.90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79.30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Employee Benefit Expenses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24.60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37.40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52.80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Marketing &amp; Digital Promotion</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14.80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22.60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33.10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Administrative &amp; Office Expenses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7.90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10.20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13.60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Technology &amp; Platform Expenses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4.60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6.80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9.40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Finance Cost</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1.10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1.40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1.60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Depreciation &amp; Amortisation</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2.20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2.80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8"/>
                <w:szCs w:val="18"/>
              </w:rPr>
              <w:t xml:space="preserve">3.50</w:t>
            </w:r>
          </w:p>
        </w:tc>
      </w:tr>
      <w:tr>
        <w:trPr>
          <w:cantSplit/>
        </w:trPr>
        <w:tc>
          <w:tcPr>
            <w:tcW w:w="3847"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Total Expenses</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93.40</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138.10</w:t>
            </w:r>
          </w:p>
        </w:tc>
        <w:tc>
          <w:tcPr>
            <w:tcW w:w="1925"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193.30</w:t>
            </w:r>
          </w:p>
        </w:tc>
      </w:tr>
      <w:tr>
        <w:trPr>
          <w:cantSplit/>
        </w:trPr>
        <w:tc>
          <w:tcPr>
            <w:tcW w:w="3847"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Profit Before Tax</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4.20</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12.70</w:t>
            </w:r>
          </w:p>
        </w:tc>
        <w:tc>
          <w:tcPr>
            <w:tcW w:w="1925"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24.70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Provision for Taxation</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1.05</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3.17</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8"/>
                <w:szCs w:val="18"/>
              </w:rPr>
              <w:t xml:space="preserve">6.17</w:t>
            </w:r>
          </w:p>
        </w:tc>
      </w:tr>
      <w:tr>
        <w:trPr>
          <w:cantSplit/>
        </w:trPr>
        <w:tc>
          <w:tcPr>
            <w:tcW w:w="3847" w:type="dxa"/>
            <w:tcBorders>
              <w:bottom w:val="single" w:sz="2" w:space="0" w:color="E3E7EC"/>
            </w:tcBorders>
            <w:shd w:val="clear" w:color="auto" w:fill="D8E7F7"/>
          </w:tcPr>
          <w:p>
            <w:pPr>
              <w:spacing w:before="0" w:after="0" w:line="250" w:lineRule="auto"/>
              <w:jc w:val="left"/>
            </w:pPr>
            <w:r>
              <w:rPr>
                <w:rFonts w:ascii="Arial" w:hAnsi="Arial" w:cs="Arial"/>
                <w:b/>
                <w:color w:val="122F5C"/>
                <w:sz w:val="18"/>
                <w:szCs w:val="18"/>
              </w:rPr>
              <w:t xml:space="preserve">Profit After Tax</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3.15</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9.53</w:t>
            </w:r>
          </w:p>
        </w:tc>
        <w:tc>
          <w:tcPr>
            <w:tcW w:w="1925" w:type="dxa"/>
            <w:tcBorders>
              <w:bottom w:val="single" w:sz="2" w:space="0" w:color="E3E7EC"/>
            </w:tcBorders>
            <w:shd w:val="clear" w:color="auto" w:fill="D8E7F7"/>
          </w:tcPr>
          <w:p>
            <w:pPr>
              <w:spacing w:before="0" w:after="0" w:line="250" w:lineRule="auto"/>
              <w:jc w:val="right"/>
            </w:pPr>
            <w:r>
              <w:rPr>
                <w:rFonts w:ascii="Arial" w:hAnsi="Arial" w:cs="Arial"/>
                <w:b/>
                <w:color w:val="122F5C"/>
                <w:sz w:val="18"/>
                <w:szCs w:val="18"/>
              </w:rPr>
              <w:t xml:space="preserve">18.53</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Indicative management figures. Reproduced from Table 4.1 for ease of reference.</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Annexure II — Abridged Balance Sheet</w:t>
      </w:r>
    </w:p>
    <w:p>
      <w:pPr>
        <w:keepNext/>
        <w:keepLines/>
        <w:spacing w:before="220" w:after="60"/>
      </w:pPr>
      <w:r>
        <w:rPr>
          <w:rFonts w:ascii="Arial" w:hAnsi="Arial" w:cs="Arial"/>
          <w:b/>
          <w:color w:val="E87A1E"/>
          <w:sz w:val="19"/>
          <w:szCs w:val="19"/>
        </w:rPr>
        <w:t xml:space="preserve">Table A2.1  </w:t>
      </w:r>
      <w:r>
        <w:rPr>
          <w:rFonts w:ascii="Arial" w:hAnsi="Arial" w:cs="Arial"/>
          <w:b/>
          <w:color w:val="122F5C"/>
          <w:sz w:val="19"/>
          <w:szCs w:val="19"/>
        </w:rPr>
        <w:t xml:space="preserve">Balance Sheet as at the close of each year (₹ in lakh)</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3847"/>
        <w:gridCol w:w="1923"/>
        <w:gridCol w:w="1923"/>
        <w:gridCol w:w="1925"/>
      </w:tblGrid>
      <w:tr>
        <w:trPr>
          <w:cantSplit/>
          <w:tblHeader/>
        </w:trPr>
        <w:tc>
          <w:tcPr>
            <w:tcW w:w="3847" w:type="dxa"/>
            <w:shd w:val="clear" w:color="auto" w:fill="122F5C"/>
            <w:vAlign w:val="center"/>
          </w:tcPr>
          <w:p>
            <w:pPr>
              <w:spacing w:before="0" w:after="0"/>
              <w:jc w:val="left"/>
            </w:pPr>
            <w:r>
              <w:rPr>
                <w:rFonts w:ascii="Arial" w:hAnsi="Arial" w:cs="Arial"/>
                <w:b/>
                <w:color w:val="FFFFFF"/>
                <w:sz w:val="17"/>
                <w:szCs w:val="17"/>
              </w:rPr>
              <w:t xml:space="preserve">Particulars</w:t>
            </w:r>
          </w:p>
        </w:tc>
        <w:tc>
          <w:tcPr>
            <w:tcW w:w="1923" w:type="dxa"/>
            <w:shd w:val="clear" w:color="auto" w:fill="122F5C"/>
            <w:vAlign w:val="center"/>
          </w:tcPr>
          <w:p>
            <w:pPr>
              <w:spacing w:before="0" w:after="0"/>
              <w:jc w:val="right"/>
            </w:pPr>
            <w:r>
              <w:rPr>
                <w:rFonts w:ascii="Arial" w:hAnsi="Arial" w:cs="Arial"/>
                <w:b/>
                <w:color w:val="FFFFFF"/>
                <w:sz w:val="17"/>
                <w:szCs w:val="17"/>
              </w:rPr>
              <w:t xml:space="preserve">FY 2023-24</w:t>
            </w:r>
          </w:p>
        </w:tc>
        <w:tc>
          <w:tcPr>
            <w:tcW w:w="1923" w:type="dxa"/>
            <w:shd w:val="clear" w:color="auto" w:fill="122F5C"/>
            <w:vAlign w:val="center"/>
          </w:tcPr>
          <w:p>
            <w:pPr>
              <w:spacing w:before="0" w:after="0"/>
              <w:jc w:val="right"/>
            </w:pPr>
            <w:r>
              <w:rPr>
                <w:rFonts w:ascii="Arial" w:hAnsi="Arial" w:cs="Arial"/>
                <w:b/>
                <w:color w:val="FFFFFF"/>
                <w:sz w:val="17"/>
                <w:szCs w:val="17"/>
              </w:rPr>
              <w:t xml:space="preserve">FY 2024-25</w:t>
            </w:r>
          </w:p>
        </w:tc>
        <w:tc>
          <w:tcPr>
            <w:tcW w:w="1925" w:type="dxa"/>
            <w:shd w:val="clear" w:color="auto" w:fill="122F5C"/>
            <w:vAlign w:val="center"/>
          </w:tcPr>
          <w:p>
            <w:pPr>
              <w:spacing w:before="0" w:after="0"/>
              <w:jc w:val="right"/>
            </w:pPr>
            <w:r>
              <w:rPr>
                <w:rFonts w:ascii="Arial" w:hAnsi="Arial" w:cs="Arial"/>
                <w:b/>
                <w:color w:val="FFFFFF"/>
                <w:sz w:val="17"/>
                <w:szCs w:val="17"/>
              </w:rPr>
              <w:t xml:space="preserve">FY 2025-26</w:t>
            </w:r>
          </w:p>
        </w:tc>
      </w:tr>
      <w:tr>
        <w:trPr>
          <w:cantSplit/>
        </w:trPr>
        <w:tc>
          <w:tcPr>
            <w:tcW w:w="3847" w:type="dxa"/>
            <w:tcBorders>
              <w:bottom w:val="single" w:sz="2" w:space="0" w:color="E3E7EC"/>
            </w:tcBorders>
            <w:shd w:val="clear" w:color="auto" w:fill="1B4B8A"/>
          </w:tcPr>
          <w:p>
            <w:pPr>
              <w:spacing w:before="0" w:after="0" w:line="250" w:lineRule="auto"/>
              <w:jc w:val="left"/>
            </w:pPr>
            <w:r>
              <w:rPr>
                <w:rFonts w:ascii="Arial" w:hAnsi="Arial" w:cs="Arial"/>
                <w:b/>
                <w:color w:val="FFFFFF"/>
                <w:sz w:val="17"/>
                <w:szCs w:val="17"/>
              </w:rPr>
              <w:t xml:space="preserve">I.  EQUITY AND LIABILITIES</w:t>
            </w:r>
          </w:p>
        </w:tc>
        <w:tc>
          <w:tcPr>
            <w:tcW w:w="1923" w:type="dxa"/>
            <w:tcBorders>
              <w:bottom w:val="single" w:sz="2" w:space="0" w:color="E3E7EC"/>
            </w:tcBorders>
            <w:shd w:val="clear" w:color="auto" w:fill="1B4B8A"/>
          </w:tcPr>
          <w:p>
            <w:pPr>
              <w:spacing w:before="0" w:after="0" w:line="250" w:lineRule="auto"/>
              <w:jc w:val="right"/>
            </w:pPr>
          </w:p>
        </w:tc>
        <w:tc>
          <w:tcPr>
            <w:tcW w:w="1923" w:type="dxa"/>
            <w:tcBorders>
              <w:bottom w:val="single" w:sz="2" w:space="0" w:color="E3E7EC"/>
            </w:tcBorders>
            <w:shd w:val="clear" w:color="auto" w:fill="1B4B8A"/>
          </w:tcPr>
          <w:p>
            <w:pPr>
              <w:spacing w:before="0" w:after="0" w:line="250" w:lineRule="auto"/>
              <w:jc w:val="right"/>
            </w:pPr>
          </w:p>
        </w:tc>
        <w:tc>
          <w:tcPr>
            <w:tcW w:w="1925" w:type="dxa"/>
            <w:tcBorders>
              <w:bottom w:val="single" w:sz="2" w:space="0" w:color="E3E7EC"/>
            </w:tcBorders>
            <w:shd w:val="clear" w:color="auto" w:fill="1B4B8A"/>
          </w:tcPr>
          <w:p>
            <w:pPr>
              <w:spacing w:before="0" w:after="0" w:line="250" w:lineRule="auto"/>
              <w:jc w:val="right"/>
            </w:pP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Share Capital</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10.00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10.00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10.00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Reserves &amp; Surplus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4.85</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14.38</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32.91</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Long-term Borrowings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9.50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8.00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6.50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Short-term Borrowings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3.20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4.10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4.60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Trade Payables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7.40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11.30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15.80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Other Current Liabilities &amp; Provisions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5.05</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7.62</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10.70</w:t>
            </w:r>
          </w:p>
        </w:tc>
      </w:tr>
      <w:tr>
        <w:trPr>
          <w:cantSplit/>
        </w:trPr>
        <w:tc>
          <w:tcPr>
            <w:tcW w:w="3847" w:type="dxa"/>
            <w:tcBorders>
              <w:bottom w:val="single" w:sz="2" w:space="0" w:color="E3E7EC"/>
            </w:tcBorders>
            <w:shd w:val="clear" w:color="auto" w:fill="D8E7F7"/>
          </w:tcPr>
          <w:p>
            <w:pPr>
              <w:spacing w:before="0" w:after="0" w:line="250" w:lineRule="auto"/>
              <w:jc w:val="left"/>
            </w:pPr>
            <w:r>
              <w:rPr>
                <w:rFonts w:ascii="Arial" w:hAnsi="Arial" w:cs="Arial"/>
                <w:b/>
                <w:color w:val="122F5C"/>
                <w:sz w:val="17"/>
                <w:szCs w:val="17"/>
              </w:rPr>
              <w:t xml:space="preserve">Total</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40.00</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55.40</w:t>
            </w:r>
          </w:p>
        </w:tc>
        <w:tc>
          <w:tcPr>
            <w:tcW w:w="1925"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80.51</w:t>
            </w:r>
          </w:p>
        </w:tc>
      </w:tr>
      <w:tr>
        <w:trPr>
          <w:cantSplit/>
        </w:trPr>
        <w:tc>
          <w:tcPr>
            <w:tcW w:w="3847" w:type="dxa"/>
            <w:tcBorders>
              <w:bottom w:val="single" w:sz="2" w:space="0" w:color="E3E7EC"/>
            </w:tcBorders>
            <w:shd w:val="clear" w:color="auto" w:fill="1B4B8A"/>
          </w:tcPr>
          <w:p>
            <w:pPr>
              <w:spacing w:before="0" w:after="0" w:line="250" w:lineRule="auto"/>
              <w:jc w:val="left"/>
            </w:pPr>
            <w:r>
              <w:rPr>
                <w:rFonts w:ascii="Arial" w:hAnsi="Arial" w:cs="Arial"/>
                <w:b/>
                <w:color w:val="FFFFFF"/>
                <w:sz w:val="17"/>
                <w:szCs w:val="17"/>
              </w:rPr>
              <w:t xml:space="preserve">II.  ASSETS</w:t>
            </w:r>
          </w:p>
        </w:tc>
        <w:tc>
          <w:tcPr>
            <w:tcW w:w="1923" w:type="dxa"/>
            <w:tcBorders>
              <w:bottom w:val="single" w:sz="2" w:space="0" w:color="E3E7EC"/>
            </w:tcBorders>
            <w:shd w:val="clear" w:color="auto" w:fill="1B4B8A"/>
          </w:tcPr>
          <w:p>
            <w:pPr>
              <w:spacing w:before="0" w:after="0" w:line="250" w:lineRule="auto"/>
              <w:jc w:val="right"/>
            </w:pPr>
          </w:p>
        </w:tc>
        <w:tc>
          <w:tcPr>
            <w:tcW w:w="1923" w:type="dxa"/>
            <w:tcBorders>
              <w:bottom w:val="single" w:sz="2" w:space="0" w:color="E3E7EC"/>
            </w:tcBorders>
            <w:shd w:val="clear" w:color="auto" w:fill="1B4B8A"/>
          </w:tcPr>
          <w:p>
            <w:pPr>
              <w:spacing w:before="0" w:after="0" w:line="250" w:lineRule="auto"/>
              <w:jc w:val="right"/>
            </w:pPr>
          </w:p>
        </w:tc>
        <w:tc>
          <w:tcPr>
            <w:tcW w:w="1925" w:type="dxa"/>
            <w:tcBorders>
              <w:bottom w:val="single" w:sz="2" w:space="0" w:color="E3E7EC"/>
            </w:tcBorders>
            <w:shd w:val="clear" w:color="auto" w:fill="1B4B8A"/>
          </w:tcPr>
          <w:p>
            <w:pPr>
              <w:spacing w:before="0" w:after="0" w:line="250" w:lineRule="auto"/>
              <w:jc w:val="right"/>
            </w:pP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Property, Plant &amp; Equipment</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8.60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10.40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13.20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Intangible Assets (Platform/Software)</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3.40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4.60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6.80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Non-current Investments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1.00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1.50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2.00</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Trade Receivables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11.80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16.90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23.10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Cash &amp; Bank Balances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9.70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14.20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24.61</w:t>
            </w:r>
          </w:p>
        </w:tc>
      </w:tr>
      <w:tr>
        <w:trPr>
          <w:cantSplit/>
        </w:trPr>
        <w:tc>
          <w:tcPr>
            <w:tcW w:w="3847"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Short-term Loans &amp; Advances</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2.90</w:t>
            </w:r>
          </w:p>
        </w:tc>
        <w:tc>
          <w:tcPr>
            <w:tcW w:w="1923"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4.10</w:t>
            </w:r>
          </w:p>
        </w:tc>
        <w:tc>
          <w:tcPr>
            <w:tcW w:w="192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5.80</w:t>
            </w:r>
          </w:p>
        </w:tc>
      </w:tr>
      <w:tr>
        <w:trPr>
          <w:cantSplit/>
        </w:trPr>
        <w:tc>
          <w:tcPr>
            <w:tcW w:w="3847"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Other Current Assets</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2.60</w:t>
            </w:r>
          </w:p>
        </w:tc>
        <w:tc>
          <w:tcPr>
            <w:tcW w:w="1923"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3.70</w:t>
            </w:r>
          </w:p>
        </w:tc>
        <w:tc>
          <w:tcPr>
            <w:tcW w:w="192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5.00</w:t>
            </w:r>
          </w:p>
        </w:tc>
      </w:tr>
      <w:tr>
        <w:trPr>
          <w:cantSplit/>
        </w:trPr>
        <w:tc>
          <w:tcPr>
            <w:tcW w:w="3847" w:type="dxa"/>
            <w:tcBorders>
              <w:bottom w:val="single" w:sz="2" w:space="0" w:color="E3E7EC"/>
            </w:tcBorders>
            <w:shd w:val="clear" w:color="auto" w:fill="D8E7F7"/>
          </w:tcPr>
          <w:p>
            <w:pPr>
              <w:spacing w:before="0" w:after="0" w:line="250" w:lineRule="auto"/>
              <w:jc w:val="left"/>
            </w:pPr>
            <w:r>
              <w:rPr>
                <w:rFonts w:ascii="Arial" w:hAnsi="Arial" w:cs="Arial"/>
                <w:b/>
                <w:color w:val="122F5C"/>
                <w:sz w:val="17"/>
                <w:szCs w:val="17"/>
              </w:rPr>
              <w:t xml:space="preserve">Total</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40.00</w:t>
            </w:r>
          </w:p>
        </w:tc>
        <w:tc>
          <w:tcPr>
            <w:tcW w:w="1923"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55.40</w:t>
            </w:r>
          </w:p>
        </w:tc>
        <w:tc>
          <w:tcPr>
            <w:tcW w:w="1925"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80.51</w:t>
            </w:r>
          </w:p>
        </w:tc>
      </w:tr>
    </w:tbl>
    <w:p>
      <w:pPr>
        <w:spacing w:before="0" w:after="0"/>
      </w:pPr>
      <w:r>
        <w:rPr>
          <w:sz w:val="16"/>
        </w:rPr>
        <w:t/>
      </w:r>
    </w:p>
    <w:p>
      <w:r>
        <w:br w:type="page"/>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Annexure III — Consolidated Ratio Schedule</w:t>
      </w:r>
    </w:p>
    <w:p>
      <w:pPr>
        <w:keepNext/>
        <w:keepLines/>
        <w:spacing w:before="220" w:after="60"/>
      </w:pPr>
      <w:r>
        <w:rPr>
          <w:rFonts w:ascii="Arial" w:hAnsi="Arial" w:cs="Arial"/>
          <w:b/>
          <w:color w:val="E87A1E"/>
          <w:sz w:val="19"/>
          <w:szCs w:val="19"/>
        </w:rPr>
        <w:t xml:space="preserve">Table A3.1  </w:t>
      </w:r>
      <w:r>
        <w:rPr>
          <w:rFonts w:ascii="Arial" w:hAnsi="Arial" w:cs="Arial"/>
          <w:b/>
          <w:color w:val="122F5C"/>
          <w:sz w:val="19"/>
          <w:szCs w:val="19"/>
        </w:rPr>
        <w:t xml:space="preserve">All ratios computed in this report</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4231"/>
        <w:gridCol w:w="1795"/>
        <w:gridCol w:w="1795"/>
        <w:gridCol w:w="1797"/>
      </w:tblGrid>
      <w:tr>
        <w:trPr>
          <w:cantSplit/>
          <w:tblHeader/>
        </w:trPr>
        <w:tc>
          <w:tcPr>
            <w:tcW w:w="4231" w:type="dxa"/>
            <w:shd w:val="clear" w:color="auto" w:fill="122F5C"/>
            <w:vAlign w:val="center"/>
          </w:tcPr>
          <w:p>
            <w:pPr>
              <w:spacing w:before="0" w:after="0"/>
              <w:jc w:val="left"/>
            </w:pPr>
            <w:r>
              <w:rPr>
                <w:rFonts w:ascii="Arial" w:hAnsi="Arial" w:cs="Arial"/>
                <w:b/>
                <w:color w:val="FFFFFF"/>
                <w:sz w:val="16"/>
                <w:szCs w:val="16"/>
              </w:rPr>
              <w:t xml:space="preserve">Ratio</w:t>
            </w:r>
          </w:p>
        </w:tc>
        <w:tc>
          <w:tcPr>
            <w:tcW w:w="1795" w:type="dxa"/>
            <w:shd w:val="clear" w:color="auto" w:fill="122F5C"/>
            <w:vAlign w:val="center"/>
          </w:tcPr>
          <w:p>
            <w:pPr>
              <w:spacing w:before="0" w:after="0"/>
              <w:jc w:val="right"/>
            </w:pPr>
            <w:r>
              <w:rPr>
                <w:rFonts w:ascii="Arial" w:hAnsi="Arial" w:cs="Arial"/>
                <w:b/>
                <w:color w:val="FFFFFF"/>
                <w:sz w:val="16"/>
                <w:szCs w:val="16"/>
              </w:rPr>
              <w:t xml:space="preserve">FY 2023-24</w:t>
            </w:r>
          </w:p>
        </w:tc>
        <w:tc>
          <w:tcPr>
            <w:tcW w:w="1795" w:type="dxa"/>
            <w:shd w:val="clear" w:color="auto" w:fill="122F5C"/>
            <w:vAlign w:val="center"/>
          </w:tcPr>
          <w:p>
            <w:pPr>
              <w:spacing w:before="0" w:after="0"/>
              <w:jc w:val="right"/>
            </w:pPr>
            <w:r>
              <w:rPr>
                <w:rFonts w:ascii="Arial" w:hAnsi="Arial" w:cs="Arial"/>
                <w:b/>
                <w:color w:val="FFFFFF"/>
                <w:sz w:val="16"/>
                <w:szCs w:val="16"/>
              </w:rPr>
              <w:t xml:space="preserve">FY 2024-25</w:t>
            </w:r>
          </w:p>
        </w:tc>
        <w:tc>
          <w:tcPr>
            <w:tcW w:w="1797" w:type="dxa"/>
            <w:shd w:val="clear" w:color="auto" w:fill="122F5C"/>
            <w:vAlign w:val="center"/>
          </w:tcPr>
          <w:p>
            <w:pPr>
              <w:spacing w:before="0" w:after="0"/>
              <w:jc w:val="right"/>
            </w:pPr>
            <w:r>
              <w:rPr>
                <w:rFonts w:ascii="Arial" w:hAnsi="Arial" w:cs="Arial"/>
                <w:b/>
                <w:color w:val="FFFFFF"/>
                <w:sz w:val="16"/>
                <w:szCs w:val="16"/>
              </w:rPr>
              <w:t xml:space="preserve">FY 2025-26</w:t>
            </w:r>
          </w:p>
        </w:tc>
      </w:tr>
      <w:tr>
        <w:trPr>
          <w:cantSplit/>
        </w:trPr>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Current Ratio (times)</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1.73</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1.69</w:t>
            </w:r>
          </w:p>
        </w:tc>
        <w:tc>
          <w:tcPr>
            <w:tcW w:w="179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1.88</w:t>
            </w:r>
          </w:p>
        </w:tc>
      </w:tr>
      <w:tr>
        <w:trPr>
          <w:cantSplit/>
        </w:trPr>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Quick Ratio (times)</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1.56</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1.53</w:t>
            </w:r>
          </w:p>
        </w:tc>
        <w:tc>
          <w:tcPr>
            <w:tcW w:w="1797"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1.72</w:t>
            </w:r>
          </w:p>
        </w:tc>
      </w:tr>
      <w:tr>
        <w:trPr>
          <w:cantSplit/>
        </w:trPr>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Absolute Cash Ratio (times)</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0.62</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0.62</w:t>
            </w:r>
          </w:p>
        </w:tc>
        <w:tc>
          <w:tcPr>
            <w:tcW w:w="179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0.79</w:t>
            </w:r>
          </w:p>
        </w:tc>
      </w:tr>
      <w:tr>
        <w:trPr>
          <w:cantSplit/>
        </w:trPr>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Gross Contribution Margin (%)</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60.37</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61.75</w:t>
            </w:r>
          </w:p>
        </w:tc>
        <w:tc>
          <w:tcPr>
            <w:tcW w:w="1797"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63.05</w:t>
            </w:r>
          </w:p>
        </w:tc>
      </w:tr>
      <w:tr>
        <w:trPr>
          <w:cantSplit/>
        </w:trPr>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EBITDA Margin (%)</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7.78</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11.36</w:t>
            </w:r>
          </w:p>
        </w:tc>
        <w:tc>
          <w:tcPr>
            <w:tcW w:w="179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13.89</w:t>
            </w:r>
          </w:p>
        </w:tc>
      </w:tr>
      <w:tr>
        <w:trPr>
          <w:cantSplit/>
        </w:trPr>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Operating Margin (%)</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5.50</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9.48</w:t>
            </w:r>
          </w:p>
        </w:tc>
        <w:tc>
          <w:tcPr>
            <w:tcW w:w="1797"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12.26</w:t>
            </w:r>
          </w:p>
        </w:tc>
      </w:tr>
      <w:tr>
        <w:trPr>
          <w:cantSplit/>
        </w:trPr>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Net Profit Margin (%)</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3.27</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6.41</w:t>
            </w:r>
          </w:p>
        </w:tc>
        <w:tc>
          <w:tcPr>
            <w:tcW w:w="179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8.63</w:t>
            </w:r>
          </w:p>
        </w:tc>
      </w:tr>
      <w:tr>
        <w:trPr>
          <w:cantSplit/>
        </w:trPr>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Return on Equity (%)</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21.21</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39.09</w:t>
            </w:r>
          </w:p>
        </w:tc>
        <w:tc>
          <w:tcPr>
            <w:tcW w:w="1797"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43.18</w:t>
            </w:r>
          </w:p>
        </w:tc>
      </w:tr>
      <w:tr>
        <w:trPr>
          <w:cantSplit/>
        </w:trPr>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Return on Capital Employed (%)</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21.77</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43.55</w:t>
            </w:r>
          </w:p>
        </w:tc>
        <w:tc>
          <w:tcPr>
            <w:tcW w:w="179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53.23</w:t>
            </w:r>
          </w:p>
        </w:tc>
      </w:tr>
      <w:tr>
        <w:trPr>
          <w:cantSplit/>
        </w:trPr>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Return on Total Assets (%)</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13.25</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25.45</w:t>
            </w:r>
          </w:p>
        </w:tc>
        <w:tc>
          <w:tcPr>
            <w:tcW w:w="1797"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32.67</w:t>
            </w:r>
          </w:p>
        </w:tc>
      </w:tr>
      <w:tr>
        <w:trPr>
          <w:cantSplit/>
        </w:trPr>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Debt-Equity Ratio (times)</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0.86</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0.50</w:t>
            </w:r>
          </w:p>
        </w:tc>
        <w:tc>
          <w:tcPr>
            <w:tcW w:w="179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0.26</w:t>
            </w:r>
          </w:p>
        </w:tc>
      </w:tr>
      <w:tr>
        <w:trPr>
          <w:cantSplit/>
        </w:trPr>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Interest Coverage (times)</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4.82</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10.07</w:t>
            </w:r>
          </w:p>
        </w:tc>
        <w:tc>
          <w:tcPr>
            <w:tcW w:w="1797"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16.44</w:t>
            </w:r>
          </w:p>
        </w:tc>
      </w:tr>
      <w:tr>
        <w:trPr>
          <w:cantSplit/>
        </w:trPr>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Proprietary Ratio (%)</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37.12</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44.01</w:t>
            </w:r>
          </w:p>
        </w:tc>
        <w:tc>
          <w:tcPr>
            <w:tcW w:w="179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53.30</w:t>
            </w:r>
          </w:p>
        </w:tc>
      </w:tr>
      <w:tr>
        <w:trPr>
          <w:cantSplit/>
        </w:trPr>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Total Asset Turnover (times)</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2.41</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2.69</w:t>
            </w:r>
          </w:p>
        </w:tc>
        <w:tc>
          <w:tcPr>
            <w:tcW w:w="1797"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2.67</w:t>
            </w:r>
          </w:p>
        </w:tc>
      </w:tr>
      <w:tr>
        <w:trPr>
          <w:cantSplit/>
        </w:trPr>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Fixed Asset Turnover (times)</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8.03</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9.92</w:t>
            </w:r>
          </w:p>
        </w:tc>
        <w:tc>
          <w:tcPr>
            <w:tcW w:w="179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10.73</w:t>
            </w:r>
          </w:p>
        </w:tc>
      </w:tr>
      <w:tr>
        <w:trPr>
          <w:cantSplit/>
        </w:trPr>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Working Capital Turnover (times)</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8.49</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9.37</w:t>
            </w:r>
          </w:p>
        </w:tc>
        <w:tc>
          <w:tcPr>
            <w:tcW w:w="1797"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7.83</w:t>
            </w:r>
          </w:p>
        </w:tc>
      </w:tr>
      <w:tr>
        <w:trPr>
          <w:cantSplit/>
        </w:trPr>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Equity Multiplier (times)</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2.69</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2.27</w:t>
            </w:r>
          </w:p>
        </w:tc>
        <w:tc>
          <w:tcPr>
            <w:tcW w:w="179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1.88</w:t>
            </w:r>
          </w:p>
        </w:tc>
      </w:tr>
      <w:tr>
        <w:trPr>
          <w:cantSplit/>
        </w:trPr>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Debtors Turnover (times)</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10.37</w:t>
            </w:r>
          </w:p>
        </w:tc>
        <w:tc>
          <w:tcPr>
            <w:tcW w:w="1797"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10.73</w:t>
            </w:r>
          </w:p>
        </w:tc>
      </w:tr>
      <w:tr>
        <w:trPr>
          <w:cantSplit/>
        </w:trPr>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Collection Period (days)</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35.2</w:t>
            </w:r>
          </w:p>
        </w:tc>
        <w:tc>
          <w:tcPr>
            <w:tcW w:w="179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34.0</w:t>
            </w:r>
          </w:p>
        </w:tc>
      </w:tr>
      <w:tr>
        <w:trPr>
          <w:cantSplit/>
        </w:trPr>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Creditors Turnover (times)</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6.09</w:t>
            </w:r>
          </w:p>
        </w:tc>
        <w:tc>
          <w:tcPr>
            <w:tcW w:w="1797"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5.85</w:t>
            </w:r>
          </w:p>
        </w:tc>
      </w:tr>
      <w:tr>
        <w:trPr>
          <w:cantSplit/>
        </w:trPr>
        <w:tc>
          <w:tcPr>
            <w:tcW w:w="4231"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6"/>
                <w:szCs w:val="16"/>
              </w:rPr>
              <w:t xml:space="preserve">Payment Period (days)</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w:t>
            </w:r>
          </w:p>
        </w:tc>
        <w:tc>
          <w:tcPr>
            <w:tcW w:w="1795"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59.9</w:t>
            </w:r>
          </w:p>
        </w:tc>
        <w:tc>
          <w:tcPr>
            <w:tcW w:w="1797"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6"/>
                <w:szCs w:val="16"/>
              </w:rPr>
              <w:t xml:space="preserve">62.4</w:t>
            </w:r>
          </w:p>
        </w:tc>
      </w:tr>
      <w:tr>
        <w:trPr>
          <w:cantSplit/>
        </w:trPr>
        <w:tc>
          <w:tcPr>
            <w:tcW w:w="4231"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6"/>
                <w:szCs w:val="16"/>
              </w:rPr>
              <w:t xml:space="preserve">Cash Conversion Cycle (days)</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w:t>
            </w:r>
          </w:p>
        </w:tc>
        <w:tc>
          <w:tcPr>
            <w:tcW w:w="1795"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-24.7</w:t>
            </w:r>
          </w:p>
        </w:tc>
        <w:tc>
          <w:tcPr>
            <w:tcW w:w="1797"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6"/>
                <w:szCs w:val="16"/>
              </w:rPr>
              <w:t xml:space="preserve">-28.4</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Activity ratios involving receivables and payables are computed on average balances and are therefore not available for the first year. All other ratios are computed on closing balances.</w:t>
      </w:r>
    </w:p>
    <w:p>
      <w:r>
        <w:br w:type="page"/>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Annexure IV — Cash Flow Statement</w:t>
      </w:r>
    </w:p>
    <w:p>
      <w:pPr>
        <w:keepNext/>
        <w:keepLines/>
        <w:spacing w:before="220" w:after="60"/>
      </w:pPr>
      <w:r>
        <w:rPr>
          <w:rFonts w:ascii="Arial" w:hAnsi="Arial" w:cs="Arial"/>
          <w:b/>
          <w:color w:val="E87A1E"/>
          <w:sz w:val="19"/>
          <w:szCs w:val="19"/>
        </w:rPr>
        <w:t xml:space="preserve">Table A4.1  </w:t>
      </w:r>
      <w:r>
        <w:rPr>
          <w:rFonts w:ascii="Arial" w:hAnsi="Arial" w:cs="Arial"/>
          <w:b/>
          <w:color w:val="122F5C"/>
          <w:sz w:val="19"/>
          <w:szCs w:val="19"/>
        </w:rPr>
        <w:t xml:space="preserve">Cash Flow Statement for FY 2025-26 (₹ in lakh)</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6155"/>
        <w:gridCol w:w="1731"/>
        <w:gridCol w:w="1732"/>
      </w:tblGrid>
      <w:tr>
        <w:trPr>
          <w:cantSplit/>
          <w:tblHeader/>
        </w:trPr>
        <w:tc>
          <w:tcPr>
            <w:tcW w:w="6155" w:type="dxa"/>
            <w:shd w:val="clear" w:color="auto" w:fill="122F5C"/>
            <w:vAlign w:val="center"/>
          </w:tcPr>
          <w:p>
            <w:pPr>
              <w:spacing w:before="0" w:after="0"/>
              <w:jc w:val="left"/>
            </w:pPr>
            <w:r>
              <w:rPr>
                <w:rFonts w:ascii="Arial" w:hAnsi="Arial" w:cs="Arial"/>
                <w:b/>
                <w:color w:val="FFFFFF"/>
                <w:sz w:val="17"/>
                <w:szCs w:val="17"/>
              </w:rPr>
              <w:t xml:space="preserve">Particulars</w:t>
            </w:r>
          </w:p>
        </w:tc>
        <w:tc>
          <w:tcPr>
            <w:tcW w:w="1731" w:type="dxa"/>
            <w:shd w:val="clear" w:color="auto" w:fill="122F5C"/>
            <w:vAlign w:val="center"/>
          </w:tcPr>
          <w:p>
            <w:pPr>
              <w:spacing w:before="0" w:after="0"/>
              <w:jc w:val="right"/>
            </w:pPr>
            <w:r>
              <w:rPr>
                <w:rFonts w:ascii="Arial" w:hAnsi="Arial" w:cs="Arial"/>
                <w:b/>
                <w:color w:val="FFFFFF"/>
                <w:sz w:val="17"/>
                <w:szCs w:val="17"/>
              </w:rPr>
              <w:t xml:space="preserve">Amount</w:t>
            </w:r>
          </w:p>
        </w:tc>
        <w:tc>
          <w:tcPr>
            <w:tcW w:w="1732" w:type="dxa"/>
            <w:shd w:val="clear" w:color="auto" w:fill="122F5C"/>
            <w:vAlign w:val="center"/>
          </w:tcPr>
          <w:p>
            <w:pPr>
              <w:spacing w:before="0" w:after="0"/>
              <w:jc w:val="right"/>
            </w:pPr>
            <w:r>
              <w:rPr>
                <w:rFonts w:ascii="Arial" w:hAnsi="Arial" w:cs="Arial"/>
                <w:b/>
                <w:color w:val="FFFFFF"/>
                <w:sz w:val="17"/>
                <w:szCs w:val="17"/>
              </w:rPr>
              <w:t xml:space="preserve">Total</w:t>
            </w:r>
          </w:p>
        </w:tc>
      </w:tr>
      <w:tr>
        <w:trPr>
          <w:cantSplit/>
        </w:trPr>
        <w:tc>
          <w:tcPr>
            <w:tcW w:w="6155" w:type="dxa"/>
            <w:tcBorders>
              <w:bottom w:val="single" w:sz="2" w:space="0" w:color="E3E7EC"/>
            </w:tcBorders>
            <w:shd w:val="clear" w:color="auto" w:fill="1B4B8A"/>
          </w:tcPr>
          <w:p>
            <w:pPr>
              <w:spacing w:before="0" w:after="0" w:line="250" w:lineRule="auto"/>
              <w:jc w:val="left"/>
            </w:pPr>
            <w:r>
              <w:rPr>
                <w:rFonts w:ascii="Arial" w:hAnsi="Arial" w:cs="Arial"/>
                <w:b/>
                <w:color w:val="FFFFFF"/>
                <w:sz w:val="17"/>
                <w:szCs w:val="17"/>
              </w:rPr>
              <w:t xml:space="preserve">A.  Operating Activities</w:t>
            </w:r>
          </w:p>
        </w:tc>
        <w:tc>
          <w:tcPr>
            <w:tcW w:w="1731" w:type="dxa"/>
            <w:tcBorders>
              <w:bottom w:val="single" w:sz="2" w:space="0" w:color="E3E7EC"/>
            </w:tcBorders>
            <w:shd w:val="clear" w:color="auto" w:fill="1B4B8A"/>
          </w:tcPr>
          <w:p>
            <w:pPr>
              <w:spacing w:before="0" w:after="0" w:line="250" w:lineRule="auto"/>
              <w:jc w:val="right"/>
            </w:pPr>
          </w:p>
        </w:tc>
        <w:tc>
          <w:tcPr>
            <w:tcW w:w="1732" w:type="dxa"/>
            <w:tcBorders>
              <w:bottom w:val="single" w:sz="2" w:space="0" w:color="E3E7EC"/>
            </w:tcBorders>
            <w:shd w:val="clear" w:color="auto" w:fill="1B4B8A"/>
          </w:tcPr>
          <w:p>
            <w:pPr>
              <w:spacing w:before="0" w:after="0" w:line="250" w:lineRule="auto"/>
              <w:jc w:val="right"/>
            </w:pPr>
          </w:p>
        </w:tc>
      </w:tr>
      <w:tr>
        <w:trPr>
          <w:cantSplit/>
        </w:trPr>
        <w:tc>
          <w:tcPr>
            <w:tcW w:w="615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Profit before tax</w:t>
            </w:r>
          </w:p>
        </w:tc>
        <w:tc>
          <w:tcPr>
            <w:tcW w:w="1731"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24.70</w:t>
            </w:r>
          </w:p>
        </w:tc>
        <w:tc>
          <w:tcPr>
            <w:tcW w:w="1732" w:type="dxa"/>
            <w:tcBorders>
              <w:bottom w:val="single" w:sz="2" w:space="0" w:color="E3E7EC"/>
            </w:tcBorders>
            <w:shd w:val="clear" w:color="auto" w:fill="FAFBFD"/>
          </w:tcPr>
          <w:p>
            <w:pPr>
              <w:spacing w:before="0" w:after="0" w:line="250" w:lineRule="auto"/>
              <w:jc w:val="right"/>
            </w:pPr>
          </w:p>
        </w:tc>
      </w:tr>
      <w:tr>
        <w:trPr>
          <w:cantSplit/>
        </w:trPr>
        <w:tc>
          <w:tcPr>
            <w:tcW w:w="615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Adjustments for depreciation and finance cost</w:t>
            </w:r>
          </w:p>
        </w:tc>
        <w:tc>
          <w:tcPr>
            <w:tcW w:w="1731"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5.10</w:t>
            </w:r>
          </w:p>
        </w:tc>
        <w:tc>
          <w:tcPr>
            <w:tcW w:w="1732" w:type="dxa"/>
            <w:tcBorders>
              <w:bottom w:val="single" w:sz="2" w:space="0" w:color="E3E7EC"/>
            </w:tcBorders>
            <w:shd w:val="clear" w:color="auto" w:fill="FFFFFF"/>
          </w:tcPr>
          <w:p>
            <w:pPr>
              <w:spacing w:before="0" w:after="0" w:line="250" w:lineRule="auto"/>
              <w:jc w:val="right"/>
            </w:pPr>
          </w:p>
        </w:tc>
      </w:tr>
      <w:tr>
        <w:trPr>
          <w:cantSplit/>
        </w:trPr>
        <w:tc>
          <w:tcPr>
            <w:tcW w:w="615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Less: other income</w:t>
            </w:r>
          </w:p>
        </w:tc>
        <w:tc>
          <w:tcPr>
            <w:tcW w:w="1731"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(3.40)</w:t>
            </w:r>
          </w:p>
        </w:tc>
        <w:tc>
          <w:tcPr>
            <w:tcW w:w="1732" w:type="dxa"/>
            <w:tcBorders>
              <w:bottom w:val="single" w:sz="2" w:space="0" w:color="E3E7EC"/>
            </w:tcBorders>
            <w:shd w:val="clear" w:color="auto" w:fill="FAFBFD"/>
          </w:tcPr>
          <w:p>
            <w:pPr>
              <w:spacing w:before="0" w:after="0" w:line="250" w:lineRule="auto"/>
              <w:jc w:val="right"/>
            </w:pPr>
          </w:p>
        </w:tc>
      </w:tr>
      <w:tr>
        <w:trPr>
          <w:cantSplit/>
        </w:trPr>
        <w:tc>
          <w:tcPr>
            <w:tcW w:w="6155" w:type="dxa"/>
            <w:tcBorders>
              <w:bottom w:val="single" w:sz="2" w:space="0" w:color="E3E7EC"/>
            </w:tcBorders>
            <w:shd w:val="clear" w:color="auto" w:fill="D8E7F7"/>
          </w:tcPr>
          <w:p>
            <w:pPr>
              <w:spacing w:before="0" w:after="0" w:line="250" w:lineRule="auto"/>
              <w:jc w:val="left"/>
            </w:pPr>
            <w:r>
              <w:rPr>
                <w:rFonts w:ascii="Arial" w:hAnsi="Arial" w:cs="Arial"/>
                <w:b/>
                <w:color w:val="122F5C"/>
                <w:sz w:val="17"/>
                <w:szCs w:val="17"/>
              </w:rPr>
              <w:t xml:space="preserve">Operating profit before working capital changes</w:t>
            </w:r>
          </w:p>
        </w:tc>
        <w:tc>
          <w:tcPr>
            <w:tcW w:w="1731"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26.40</w:t>
            </w:r>
          </w:p>
        </w:tc>
        <w:tc>
          <w:tcPr>
            <w:tcW w:w="1732" w:type="dxa"/>
            <w:tcBorders>
              <w:bottom w:val="single" w:sz="2" w:space="0" w:color="E3E7EC"/>
            </w:tcBorders>
            <w:shd w:val="clear" w:color="auto" w:fill="D8E7F7"/>
          </w:tcPr>
          <w:p>
            <w:pPr>
              <w:spacing w:before="0" w:after="0" w:line="250" w:lineRule="auto"/>
              <w:jc w:val="right"/>
            </w:pPr>
          </w:p>
        </w:tc>
      </w:tr>
      <w:tr>
        <w:trPr>
          <w:cantSplit/>
        </w:trPr>
        <w:tc>
          <w:tcPr>
            <w:tcW w:w="615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Net change in working capital</w:t>
            </w:r>
          </w:p>
        </w:tc>
        <w:tc>
          <w:tcPr>
            <w:tcW w:w="1731"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(1.62)</w:t>
            </w:r>
          </w:p>
        </w:tc>
        <w:tc>
          <w:tcPr>
            <w:tcW w:w="1732" w:type="dxa"/>
            <w:tcBorders>
              <w:bottom w:val="single" w:sz="2" w:space="0" w:color="E3E7EC"/>
            </w:tcBorders>
            <w:shd w:val="clear" w:color="auto" w:fill="FAFBFD"/>
          </w:tcPr>
          <w:p>
            <w:pPr>
              <w:spacing w:before="0" w:after="0" w:line="250" w:lineRule="auto"/>
              <w:jc w:val="right"/>
            </w:pPr>
          </w:p>
        </w:tc>
      </w:tr>
      <w:tr>
        <w:trPr>
          <w:cantSplit/>
        </w:trPr>
        <w:tc>
          <w:tcPr>
            <w:tcW w:w="615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Income tax paid</w:t>
            </w:r>
          </w:p>
        </w:tc>
        <w:tc>
          <w:tcPr>
            <w:tcW w:w="1731"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(6.17)</w:t>
            </w:r>
          </w:p>
        </w:tc>
        <w:tc>
          <w:tcPr>
            <w:tcW w:w="1732" w:type="dxa"/>
            <w:tcBorders>
              <w:bottom w:val="single" w:sz="2" w:space="0" w:color="E3E7EC"/>
            </w:tcBorders>
            <w:shd w:val="clear" w:color="auto" w:fill="FFFFFF"/>
          </w:tcPr>
          <w:p>
            <w:pPr>
              <w:spacing w:before="0" w:after="0" w:line="250" w:lineRule="auto"/>
              <w:jc w:val="right"/>
            </w:pPr>
          </w:p>
        </w:tc>
      </w:tr>
      <w:tr>
        <w:trPr>
          <w:cantSplit/>
        </w:trPr>
        <w:tc>
          <w:tcPr>
            <w:tcW w:w="6155" w:type="dxa"/>
            <w:tcBorders>
              <w:bottom w:val="single" w:sz="2" w:space="0" w:color="E3E7EC"/>
            </w:tcBorders>
            <w:shd w:val="clear" w:color="auto" w:fill="D8E7F7"/>
          </w:tcPr>
          <w:p>
            <w:pPr>
              <w:spacing w:before="0" w:after="0" w:line="250" w:lineRule="auto"/>
              <w:jc w:val="left"/>
            </w:pPr>
            <w:r>
              <w:rPr>
                <w:rFonts w:ascii="Arial" w:hAnsi="Arial" w:cs="Arial"/>
                <w:b/>
                <w:color w:val="122F5C"/>
                <w:sz w:val="17"/>
                <w:szCs w:val="17"/>
              </w:rPr>
              <w:t xml:space="preserve">Net cash from operating activities</w:t>
            </w:r>
          </w:p>
        </w:tc>
        <w:tc>
          <w:tcPr>
            <w:tcW w:w="1731" w:type="dxa"/>
            <w:tcBorders>
              <w:bottom w:val="single" w:sz="2" w:space="0" w:color="E3E7EC"/>
            </w:tcBorders>
            <w:shd w:val="clear" w:color="auto" w:fill="D8E7F7"/>
          </w:tcPr>
          <w:p>
            <w:pPr>
              <w:spacing w:before="0" w:after="0" w:line="250" w:lineRule="auto"/>
              <w:jc w:val="right"/>
            </w:pPr>
          </w:p>
        </w:tc>
        <w:tc>
          <w:tcPr>
            <w:tcW w:w="1732"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18.61</w:t>
            </w:r>
          </w:p>
        </w:tc>
      </w:tr>
      <w:tr>
        <w:trPr>
          <w:cantSplit/>
        </w:trPr>
        <w:tc>
          <w:tcPr>
            <w:tcW w:w="6155" w:type="dxa"/>
            <w:tcBorders>
              <w:bottom w:val="single" w:sz="2" w:space="0" w:color="E3E7EC"/>
            </w:tcBorders>
            <w:shd w:val="clear" w:color="auto" w:fill="1B4B8A"/>
          </w:tcPr>
          <w:p>
            <w:pPr>
              <w:spacing w:before="0" w:after="0" w:line="250" w:lineRule="auto"/>
              <w:jc w:val="left"/>
            </w:pPr>
            <w:r>
              <w:rPr>
                <w:rFonts w:ascii="Arial" w:hAnsi="Arial" w:cs="Arial"/>
                <w:b/>
                <w:color w:val="FFFFFF"/>
                <w:sz w:val="17"/>
                <w:szCs w:val="17"/>
              </w:rPr>
              <w:t xml:space="preserve">B.  Investing Activities</w:t>
            </w:r>
          </w:p>
        </w:tc>
        <w:tc>
          <w:tcPr>
            <w:tcW w:w="1731" w:type="dxa"/>
            <w:tcBorders>
              <w:bottom w:val="single" w:sz="2" w:space="0" w:color="E3E7EC"/>
            </w:tcBorders>
            <w:shd w:val="clear" w:color="auto" w:fill="1B4B8A"/>
          </w:tcPr>
          <w:p>
            <w:pPr>
              <w:spacing w:before="0" w:after="0" w:line="250" w:lineRule="auto"/>
              <w:jc w:val="right"/>
            </w:pPr>
          </w:p>
        </w:tc>
        <w:tc>
          <w:tcPr>
            <w:tcW w:w="1732" w:type="dxa"/>
            <w:tcBorders>
              <w:bottom w:val="single" w:sz="2" w:space="0" w:color="E3E7EC"/>
            </w:tcBorders>
            <w:shd w:val="clear" w:color="auto" w:fill="1B4B8A"/>
          </w:tcPr>
          <w:p>
            <w:pPr>
              <w:spacing w:before="0" w:after="0" w:line="250" w:lineRule="auto"/>
              <w:jc w:val="right"/>
            </w:pPr>
          </w:p>
        </w:tc>
      </w:tr>
      <w:tr>
        <w:trPr>
          <w:cantSplit/>
        </w:trPr>
        <w:tc>
          <w:tcPr>
            <w:tcW w:w="615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Capital expenditure</w:t>
            </w:r>
          </w:p>
        </w:tc>
        <w:tc>
          <w:tcPr>
            <w:tcW w:w="1731"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(8.50)</w:t>
            </w:r>
          </w:p>
        </w:tc>
        <w:tc>
          <w:tcPr>
            <w:tcW w:w="1732" w:type="dxa"/>
            <w:tcBorders>
              <w:bottom w:val="single" w:sz="2" w:space="0" w:color="E3E7EC"/>
            </w:tcBorders>
            <w:shd w:val="clear" w:color="auto" w:fill="FAFBFD"/>
          </w:tcPr>
          <w:p>
            <w:pPr>
              <w:spacing w:before="0" w:after="0" w:line="250" w:lineRule="auto"/>
              <w:jc w:val="right"/>
            </w:pPr>
          </w:p>
        </w:tc>
      </w:tr>
      <w:tr>
        <w:trPr>
          <w:cantSplit/>
        </w:trPr>
        <w:tc>
          <w:tcPr>
            <w:tcW w:w="615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Investments made</w:t>
            </w:r>
          </w:p>
        </w:tc>
        <w:tc>
          <w:tcPr>
            <w:tcW w:w="1731"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(0.50)</w:t>
            </w:r>
          </w:p>
        </w:tc>
        <w:tc>
          <w:tcPr>
            <w:tcW w:w="1732" w:type="dxa"/>
            <w:tcBorders>
              <w:bottom w:val="single" w:sz="2" w:space="0" w:color="E3E7EC"/>
            </w:tcBorders>
            <w:shd w:val="clear" w:color="auto" w:fill="FFFFFF"/>
          </w:tcPr>
          <w:p>
            <w:pPr>
              <w:spacing w:before="0" w:after="0" w:line="250" w:lineRule="auto"/>
              <w:jc w:val="right"/>
            </w:pPr>
          </w:p>
        </w:tc>
      </w:tr>
      <w:tr>
        <w:trPr>
          <w:cantSplit/>
        </w:trPr>
        <w:tc>
          <w:tcPr>
            <w:tcW w:w="615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Other income received</w:t>
            </w:r>
          </w:p>
        </w:tc>
        <w:tc>
          <w:tcPr>
            <w:tcW w:w="1731"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3.40</w:t>
            </w:r>
          </w:p>
        </w:tc>
        <w:tc>
          <w:tcPr>
            <w:tcW w:w="1732" w:type="dxa"/>
            <w:tcBorders>
              <w:bottom w:val="single" w:sz="2" w:space="0" w:color="E3E7EC"/>
            </w:tcBorders>
            <w:shd w:val="clear" w:color="auto" w:fill="FAFBFD"/>
          </w:tcPr>
          <w:p>
            <w:pPr>
              <w:spacing w:before="0" w:after="0" w:line="250" w:lineRule="auto"/>
              <w:jc w:val="right"/>
            </w:pPr>
          </w:p>
        </w:tc>
      </w:tr>
      <w:tr>
        <w:trPr>
          <w:cantSplit/>
        </w:trPr>
        <w:tc>
          <w:tcPr>
            <w:tcW w:w="6155" w:type="dxa"/>
            <w:tcBorders>
              <w:bottom w:val="single" w:sz="2" w:space="0" w:color="E3E7EC"/>
            </w:tcBorders>
            <w:shd w:val="clear" w:color="auto" w:fill="D8E7F7"/>
          </w:tcPr>
          <w:p>
            <w:pPr>
              <w:spacing w:before="0" w:after="0" w:line="250" w:lineRule="auto"/>
              <w:jc w:val="left"/>
            </w:pPr>
            <w:r>
              <w:rPr>
                <w:rFonts w:ascii="Arial" w:hAnsi="Arial" w:cs="Arial"/>
                <w:b/>
                <w:color w:val="122F5C"/>
                <w:sz w:val="17"/>
                <w:szCs w:val="17"/>
              </w:rPr>
              <w:t xml:space="preserve">Net cash used in investing activities</w:t>
            </w:r>
          </w:p>
        </w:tc>
        <w:tc>
          <w:tcPr>
            <w:tcW w:w="1731" w:type="dxa"/>
            <w:tcBorders>
              <w:bottom w:val="single" w:sz="2" w:space="0" w:color="E3E7EC"/>
            </w:tcBorders>
            <w:shd w:val="clear" w:color="auto" w:fill="D8E7F7"/>
          </w:tcPr>
          <w:p>
            <w:pPr>
              <w:spacing w:before="0" w:after="0" w:line="250" w:lineRule="auto"/>
              <w:jc w:val="right"/>
            </w:pPr>
          </w:p>
        </w:tc>
        <w:tc>
          <w:tcPr>
            <w:tcW w:w="1732"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(5.60)</w:t>
            </w:r>
          </w:p>
        </w:tc>
      </w:tr>
      <w:tr>
        <w:trPr>
          <w:cantSplit/>
        </w:trPr>
        <w:tc>
          <w:tcPr>
            <w:tcW w:w="6155" w:type="dxa"/>
            <w:tcBorders>
              <w:bottom w:val="single" w:sz="2" w:space="0" w:color="E3E7EC"/>
            </w:tcBorders>
            <w:shd w:val="clear" w:color="auto" w:fill="1B4B8A"/>
          </w:tcPr>
          <w:p>
            <w:pPr>
              <w:spacing w:before="0" w:after="0" w:line="250" w:lineRule="auto"/>
              <w:jc w:val="left"/>
            </w:pPr>
            <w:r>
              <w:rPr>
                <w:rFonts w:ascii="Arial" w:hAnsi="Arial" w:cs="Arial"/>
                <w:b/>
                <w:color w:val="FFFFFF"/>
                <w:sz w:val="17"/>
                <w:szCs w:val="17"/>
              </w:rPr>
              <w:t xml:space="preserve">C.  Financing Activities</w:t>
            </w:r>
          </w:p>
        </w:tc>
        <w:tc>
          <w:tcPr>
            <w:tcW w:w="1731" w:type="dxa"/>
            <w:tcBorders>
              <w:bottom w:val="single" w:sz="2" w:space="0" w:color="E3E7EC"/>
            </w:tcBorders>
            <w:shd w:val="clear" w:color="auto" w:fill="1B4B8A"/>
          </w:tcPr>
          <w:p>
            <w:pPr>
              <w:spacing w:before="0" w:after="0" w:line="250" w:lineRule="auto"/>
              <w:jc w:val="right"/>
            </w:pPr>
          </w:p>
        </w:tc>
        <w:tc>
          <w:tcPr>
            <w:tcW w:w="1732" w:type="dxa"/>
            <w:tcBorders>
              <w:bottom w:val="single" w:sz="2" w:space="0" w:color="E3E7EC"/>
            </w:tcBorders>
            <w:shd w:val="clear" w:color="auto" w:fill="1B4B8A"/>
          </w:tcPr>
          <w:p>
            <w:pPr>
              <w:spacing w:before="0" w:after="0" w:line="250" w:lineRule="auto"/>
              <w:jc w:val="right"/>
            </w:pPr>
          </w:p>
        </w:tc>
      </w:tr>
      <w:tr>
        <w:trPr>
          <w:cantSplit/>
        </w:trPr>
        <w:tc>
          <w:tcPr>
            <w:tcW w:w="615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Net movement in borrowings</w:t>
            </w:r>
          </w:p>
        </w:tc>
        <w:tc>
          <w:tcPr>
            <w:tcW w:w="1731"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(1.00)</w:t>
            </w:r>
          </w:p>
        </w:tc>
        <w:tc>
          <w:tcPr>
            <w:tcW w:w="1732" w:type="dxa"/>
            <w:tcBorders>
              <w:bottom w:val="single" w:sz="2" w:space="0" w:color="E3E7EC"/>
            </w:tcBorders>
            <w:shd w:val="clear" w:color="auto" w:fill="FFFFFF"/>
          </w:tcPr>
          <w:p>
            <w:pPr>
              <w:spacing w:before="0" w:after="0" w:line="250" w:lineRule="auto"/>
              <w:jc w:val="right"/>
            </w:pPr>
          </w:p>
        </w:tc>
      </w:tr>
      <w:tr>
        <w:trPr>
          <w:cantSplit/>
        </w:trPr>
        <w:tc>
          <w:tcPr>
            <w:tcW w:w="615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Finance cost paid</w:t>
            </w:r>
          </w:p>
        </w:tc>
        <w:tc>
          <w:tcPr>
            <w:tcW w:w="1731"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(1.60)</w:t>
            </w:r>
          </w:p>
        </w:tc>
        <w:tc>
          <w:tcPr>
            <w:tcW w:w="1732" w:type="dxa"/>
            <w:tcBorders>
              <w:bottom w:val="single" w:sz="2" w:space="0" w:color="E3E7EC"/>
            </w:tcBorders>
            <w:shd w:val="clear" w:color="auto" w:fill="FAFBFD"/>
          </w:tcPr>
          <w:p>
            <w:pPr>
              <w:spacing w:before="0" w:after="0" w:line="250" w:lineRule="auto"/>
              <w:jc w:val="right"/>
            </w:pPr>
          </w:p>
        </w:tc>
      </w:tr>
      <w:tr>
        <w:trPr>
          <w:cantSplit/>
        </w:trPr>
        <w:tc>
          <w:tcPr>
            <w:tcW w:w="6155" w:type="dxa"/>
            <w:tcBorders>
              <w:bottom w:val="single" w:sz="2" w:space="0" w:color="E3E7EC"/>
            </w:tcBorders>
            <w:shd w:val="clear" w:color="auto" w:fill="D8E7F7"/>
          </w:tcPr>
          <w:p>
            <w:pPr>
              <w:spacing w:before="0" w:after="0" w:line="250" w:lineRule="auto"/>
              <w:jc w:val="left"/>
            </w:pPr>
            <w:r>
              <w:rPr>
                <w:rFonts w:ascii="Arial" w:hAnsi="Arial" w:cs="Arial"/>
                <w:b/>
                <w:color w:val="122F5C"/>
                <w:sz w:val="17"/>
                <w:szCs w:val="17"/>
              </w:rPr>
              <w:t xml:space="preserve">Net cash used in financing activities</w:t>
            </w:r>
          </w:p>
        </w:tc>
        <w:tc>
          <w:tcPr>
            <w:tcW w:w="1731" w:type="dxa"/>
            <w:tcBorders>
              <w:bottom w:val="single" w:sz="2" w:space="0" w:color="E3E7EC"/>
            </w:tcBorders>
            <w:shd w:val="clear" w:color="auto" w:fill="D8E7F7"/>
          </w:tcPr>
          <w:p>
            <w:pPr>
              <w:spacing w:before="0" w:after="0" w:line="250" w:lineRule="auto"/>
              <w:jc w:val="right"/>
            </w:pPr>
          </w:p>
        </w:tc>
        <w:tc>
          <w:tcPr>
            <w:tcW w:w="1732"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(2.60)</w:t>
            </w:r>
          </w:p>
        </w:tc>
      </w:tr>
      <w:tr>
        <w:trPr>
          <w:cantSplit/>
        </w:trPr>
        <w:tc>
          <w:tcPr>
            <w:tcW w:w="6155" w:type="dxa"/>
            <w:tcBorders>
              <w:bottom w:val="single" w:sz="2" w:space="0" w:color="E3E7EC"/>
            </w:tcBorders>
            <w:shd w:val="clear" w:color="auto" w:fill="D8E7F7"/>
          </w:tcPr>
          <w:p>
            <w:pPr>
              <w:spacing w:before="0" w:after="0" w:line="250" w:lineRule="auto"/>
              <w:jc w:val="left"/>
            </w:pPr>
            <w:r>
              <w:rPr>
                <w:rFonts w:ascii="Arial" w:hAnsi="Arial" w:cs="Arial"/>
                <w:b/>
                <w:color w:val="122F5C"/>
                <w:sz w:val="17"/>
                <w:szCs w:val="17"/>
              </w:rPr>
              <w:t xml:space="preserve">Net increase in cash</w:t>
            </w:r>
          </w:p>
        </w:tc>
        <w:tc>
          <w:tcPr>
            <w:tcW w:w="1731" w:type="dxa"/>
            <w:tcBorders>
              <w:bottom w:val="single" w:sz="2" w:space="0" w:color="E3E7EC"/>
            </w:tcBorders>
            <w:shd w:val="clear" w:color="auto" w:fill="D8E7F7"/>
          </w:tcPr>
          <w:p>
            <w:pPr>
              <w:spacing w:before="0" w:after="0" w:line="250" w:lineRule="auto"/>
              <w:jc w:val="right"/>
            </w:pPr>
          </w:p>
        </w:tc>
        <w:tc>
          <w:tcPr>
            <w:tcW w:w="1732"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10.41</w:t>
            </w:r>
          </w:p>
        </w:tc>
      </w:tr>
      <w:tr>
        <w:trPr>
          <w:cantSplit/>
        </w:trPr>
        <w:tc>
          <w:tcPr>
            <w:tcW w:w="615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Opening cash and bank balances</w:t>
            </w:r>
          </w:p>
        </w:tc>
        <w:tc>
          <w:tcPr>
            <w:tcW w:w="1731" w:type="dxa"/>
            <w:tcBorders>
              <w:bottom w:val="single" w:sz="2" w:space="0" w:color="E3E7EC"/>
            </w:tcBorders>
            <w:shd w:val="clear" w:color="auto" w:fill="FFFFFF"/>
          </w:tcPr>
          <w:p>
            <w:pPr>
              <w:spacing w:before="0" w:after="0" w:line="250" w:lineRule="auto"/>
              <w:jc w:val="right"/>
            </w:pPr>
          </w:p>
        </w:tc>
        <w:tc>
          <w:tcPr>
            <w:tcW w:w="1732"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14.20</w:t>
            </w:r>
          </w:p>
        </w:tc>
      </w:tr>
      <w:tr>
        <w:trPr>
          <w:cantSplit/>
        </w:trPr>
        <w:tc>
          <w:tcPr>
            <w:tcW w:w="6155" w:type="dxa"/>
            <w:tcBorders>
              <w:bottom w:val="single" w:sz="2" w:space="0" w:color="E3E7EC"/>
            </w:tcBorders>
            <w:shd w:val="clear" w:color="auto" w:fill="D8E7F7"/>
          </w:tcPr>
          <w:p>
            <w:pPr>
              <w:spacing w:before="0" w:after="0" w:line="250" w:lineRule="auto"/>
              <w:jc w:val="left"/>
            </w:pPr>
            <w:r>
              <w:rPr>
                <w:rFonts w:ascii="Arial" w:hAnsi="Arial" w:cs="Arial"/>
                <w:b/>
                <w:color w:val="122F5C"/>
                <w:sz w:val="17"/>
                <w:szCs w:val="17"/>
              </w:rPr>
              <w:t xml:space="preserve">Closing cash and bank balances</w:t>
            </w:r>
          </w:p>
        </w:tc>
        <w:tc>
          <w:tcPr>
            <w:tcW w:w="1731" w:type="dxa"/>
            <w:tcBorders>
              <w:bottom w:val="single" w:sz="2" w:space="0" w:color="E3E7EC"/>
            </w:tcBorders>
            <w:shd w:val="clear" w:color="auto" w:fill="D8E7F7"/>
          </w:tcPr>
          <w:p>
            <w:pPr>
              <w:spacing w:before="0" w:after="0" w:line="250" w:lineRule="auto"/>
              <w:jc w:val="right"/>
            </w:pPr>
          </w:p>
        </w:tc>
        <w:tc>
          <w:tcPr>
            <w:tcW w:w="1732"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24.61</w:t>
            </w:r>
          </w:p>
        </w:tc>
      </w:tr>
    </w:tbl>
    <w:p>
      <w:pPr>
        <w:spacing w:before="0" w:after="0"/>
      </w:pPr>
      <w:r>
        <w:rPr>
          <w:sz w:val="16"/>
        </w:rPr>
        <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Annexure V — Cost-Volume-Profit Working</w:t>
      </w:r>
    </w:p>
    <w:p>
      <w:pPr>
        <w:keepNext/>
        <w:keepLines/>
        <w:spacing w:before="220" w:after="60"/>
      </w:pPr>
      <w:r>
        <w:rPr>
          <w:rFonts w:ascii="Arial" w:hAnsi="Arial" w:cs="Arial"/>
          <w:b/>
          <w:color w:val="E87A1E"/>
          <w:sz w:val="19"/>
          <w:szCs w:val="19"/>
        </w:rPr>
        <w:t xml:space="preserve">Table A5.1  </w:t>
      </w:r>
      <w:r>
        <w:rPr>
          <w:rFonts w:ascii="Arial" w:hAnsi="Arial" w:cs="Arial"/>
          <w:b/>
          <w:color w:val="122F5C"/>
          <w:sz w:val="19"/>
          <w:szCs w:val="19"/>
        </w:rPr>
        <w:t xml:space="preserve">Fixed and variable cost segregation for FY 2025-26 (₹ in lakh)</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3270"/>
        <w:gridCol w:w="1538"/>
        <w:gridCol w:w="1538"/>
        <w:gridCol w:w="1538"/>
        <w:gridCol w:w="1734"/>
      </w:tblGrid>
      <w:tr>
        <w:trPr>
          <w:cantSplit/>
          <w:tblHeader/>
        </w:trPr>
        <w:tc>
          <w:tcPr>
            <w:tcW w:w="3270" w:type="dxa"/>
            <w:shd w:val="clear" w:color="auto" w:fill="122F5C"/>
            <w:vAlign w:val="center"/>
          </w:tcPr>
          <w:p>
            <w:pPr>
              <w:spacing w:before="0" w:after="0"/>
              <w:jc w:val="left"/>
            </w:pPr>
            <w:r>
              <w:rPr>
                <w:rFonts w:ascii="Arial" w:hAnsi="Arial" w:cs="Arial"/>
                <w:b/>
                <w:color w:val="FFFFFF"/>
                <w:sz w:val="17"/>
                <w:szCs w:val="17"/>
              </w:rPr>
              <w:t xml:space="preserve">Head</w:t>
            </w:r>
          </w:p>
        </w:tc>
        <w:tc>
          <w:tcPr>
            <w:tcW w:w="1538" w:type="dxa"/>
            <w:shd w:val="clear" w:color="auto" w:fill="122F5C"/>
            <w:vAlign w:val="center"/>
          </w:tcPr>
          <w:p>
            <w:pPr>
              <w:spacing w:before="0" w:after="0"/>
              <w:jc w:val="right"/>
            </w:pPr>
            <w:r>
              <w:rPr>
                <w:rFonts w:ascii="Arial" w:hAnsi="Arial" w:cs="Arial"/>
                <w:b/>
                <w:color w:val="FFFFFF"/>
                <w:sz w:val="17"/>
                <w:szCs w:val="17"/>
              </w:rPr>
              <w:t xml:space="preserve">Total</w:t>
            </w:r>
          </w:p>
        </w:tc>
        <w:tc>
          <w:tcPr>
            <w:tcW w:w="1538" w:type="dxa"/>
            <w:shd w:val="clear" w:color="auto" w:fill="122F5C"/>
            <w:vAlign w:val="center"/>
          </w:tcPr>
          <w:p>
            <w:pPr>
              <w:spacing w:before="0" w:after="0"/>
              <w:jc w:val="right"/>
            </w:pPr>
            <w:r>
              <w:rPr>
                <w:rFonts w:ascii="Arial" w:hAnsi="Arial" w:cs="Arial"/>
                <w:b/>
                <w:color w:val="FFFFFF"/>
                <w:sz w:val="17"/>
                <w:szCs w:val="17"/>
              </w:rPr>
              <w:t xml:space="preserve">Variable</w:t>
            </w:r>
          </w:p>
        </w:tc>
        <w:tc>
          <w:tcPr>
            <w:tcW w:w="1538" w:type="dxa"/>
            <w:shd w:val="clear" w:color="auto" w:fill="122F5C"/>
            <w:vAlign w:val="center"/>
          </w:tcPr>
          <w:p>
            <w:pPr>
              <w:spacing w:before="0" w:after="0"/>
              <w:jc w:val="right"/>
            </w:pPr>
            <w:r>
              <w:rPr>
                <w:rFonts w:ascii="Arial" w:hAnsi="Arial" w:cs="Arial"/>
                <w:b/>
                <w:color w:val="FFFFFF"/>
                <w:sz w:val="17"/>
                <w:szCs w:val="17"/>
              </w:rPr>
              <w:t xml:space="preserve">Fixed</w:t>
            </w:r>
          </w:p>
        </w:tc>
        <w:tc>
          <w:tcPr>
            <w:tcW w:w="1734" w:type="dxa"/>
            <w:shd w:val="clear" w:color="auto" w:fill="122F5C"/>
            <w:vAlign w:val="center"/>
          </w:tcPr>
          <w:p>
            <w:pPr>
              <w:spacing w:before="0" w:after="0"/>
              <w:jc w:val="center"/>
            </w:pPr>
            <w:r>
              <w:rPr>
                <w:rFonts w:ascii="Arial" w:hAnsi="Arial" w:cs="Arial"/>
                <w:b/>
                <w:color w:val="FFFFFF"/>
                <w:sz w:val="17"/>
                <w:szCs w:val="17"/>
              </w:rPr>
              <w:t xml:space="preserve">Basis</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Direct Programme Cost</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79.30</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79.30</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0.00</w:t>
            </w:r>
          </w:p>
        </w:tc>
        <w:tc>
          <w:tcPr>
            <w:tcW w:w="173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Variable</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Employee Benefit Expenses</w:t>
            </w:r>
          </w:p>
        </w:tc>
        <w:tc>
          <w:tcPr>
            <w:tcW w:w="153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52.80</w:t>
            </w:r>
          </w:p>
        </w:tc>
        <w:tc>
          <w:tcPr>
            <w:tcW w:w="153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0.00</w:t>
            </w:r>
          </w:p>
        </w:tc>
        <w:tc>
          <w:tcPr>
            <w:tcW w:w="153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52.80</w:t>
            </w:r>
          </w:p>
        </w:tc>
        <w:tc>
          <w:tcPr>
            <w:tcW w:w="1734"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7"/>
                <w:szCs w:val="17"/>
              </w:rPr>
              <w:t xml:space="preserve">Fixed</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Marketing &amp; Digital Promotion</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33.10</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18.21</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14.89</w:t>
            </w:r>
          </w:p>
        </w:tc>
        <w:tc>
          <w:tcPr>
            <w:tcW w:w="173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Split</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Administrative &amp; Office Expenses</w:t>
            </w:r>
          </w:p>
        </w:tc>
        <w:tc>
          <w:tcPr>
            <w:tcW w:w="153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13.60</w:t>
            </w:r>
          </w:p>
        </w:tc>
        <w:tc>
          <w:tcPr>
            <w:tcW w:w="153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2.40</w:t>
            </w:r>
          </w:p>
        </w:tc>
        <w:tc>
          <w:tcPr>
            <w:tcW w:w="153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11.20</w:t>
            </w:r>
          </w:p>
        </w:tc>
        <w:tc>
          <w:tcPr>
            <w:tcW w:w="1734"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7"/>
                <w:szCs w:val="17"/>
              </w:rPr>
              <w:t xml:space="preserve">Split</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Technology &amp; Platform Expenses</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9.40</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0.00</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9.40</w:t>
            </w:r>
          </w:p>
        </w:tc>
        <w:tc>
          <w:tcPr>
            <w:tcW w:w="173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Fixed</w:t>
            </w:r>
          </w:p>
        </w:tc>
      </w:tr>
      <w:tr>
        <w:trPr>
          <w:cantSplit/>
        </w:trPr>
        <w:tc>
          <w:tcPr>
            <w:tcW w:w="3270"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7"/>
                <w:szCs w:val="17"/>
              </w:rPr>
              <w:t xml:space="preserve">Finance Cost</w:t>
            </w:r>
          </w:p>
        </w:tc>
        <w:tc>
          <w:tcPr>
            <w:tcW w:w="153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1.60</w:t>
            </w:r>
          </w:p>
        </w:tc>
        <w:tc>
          <w:tcPr>
            <w:tcW w:w="153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0.00</w:t>
            </w:r>
          </w:p>
        </w:tc>
        <w:tc>
          <w:tcPr>
            <w:tcW w:w="1538" w:type="dxa"/>
            <w:tcBorders>
              <w:bottom w:val="single" w:sz="2" w:space="0" w:color="E3E7EC"/>
            </w:tcBorders>
            <w:shd w:val="clear" w:color="auto" w:fill="FAFBFD"/>
          </w:tcPr>
          <w:p>
            <w:pPr>
              <w:spacing w:before="0" w:after="0" w:line="250" w:lineRule="auto"/>
              <w:jc w:val="right"/>
            </w:pPr>
            <w:r>
              <w:rPr>
                <w:rFonts w:ascii="Times New Roman" w:hAnsi="Times New Roman" w:cs="Times New Roman"/>
                <w:color w:val="1A1A1A"/>
                <w:sz w:val="17"/>
                <w:szCs w:val="17"/>
              </w:rPr>
              <w:t xml:space="preserve">1.60</w:t>
            </w:r>
          </w:p>
        </w:tc>
        <w:tc>
          <w:tcPr>
            <w:tcW w:w="1734"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7"/>
                <w:szCs w:val="17"/>
              </w:rPr>
              <w:t xml:space="preserve">Fixed</w:t>
            </w:r>
          </w:p>
        </w:tc>
      </w:tr>
      <w:tr>
        <w:trPr>
          <w:cantSplit/>
        </w:trPr>
        <w:tc>
          <w:tcPr>
            <w:tcW w:w="3270"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7"/>
                <w:szCs w:val="17"/>
              </w:rPr>
              <w:t xml:space="preserve">Depreciation &amp; Amortisation</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3.50</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0.00</w:t>
            </w:r>
          </w:p>
        </w:tc>
        <w:tc>
          <w:tcPr>
            <w:tcW w:w="1538" w:type="dxa"/>
            <w:tcBorders>
              <w:bottom w:val="single" w:sz="2" w:space="0" w:color="E3E7EC"/>
            </w:tcBorders>
            <w:shd w:val="clear" w:color="auto" w:fill="FFFFFF"/>
          </w:tcPr>
          <w:p>
            <w:pPr>
              <w:spacing w:before="0" w:after="0" w:line="250" w:lineRule="auto"/>
              <w:jc w:val="right"/>
            </w:pPr>
            <w:r>
              <w:rPr>
                <w:rFonts w:ascii="Times New Roman" w:hAnsi="Times New Roman" w:cs="Times New Roman"/>
                <w:color w:val="1A1A1A"/>
                <w:sz w:val="17"/>
                <w:szCs w:val="17"/>
              </w:rPr>
              <w:t xml:space="preserve">3.50</w:t>
            </w:r>
          </w:p>
        </w:tc>
        <w:tc>
          <w:tcPr>
            <w:tcW w:w="173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7"/>
                <w:szCs w:val="17"/>
              </w:rPr>
              <w:t xml:space="preserve">Fixed</w:t>
            </w:r>
          </w:p>
        </w:tc>
      </w:tr>
      <w:tr>
        <w:trPr>
          <w:cantSplit/>
        </w:trPr>
        <w:tc>
          <w:tcPr>
            <w:tcW w:w="3270" w:type="dxa"/>
            <w:tcBorders>
              <w:bottom w:val="single" w:sz="2" w:space="0" w:color="E3E7EC"/>
            </w:tcBorders>
            <w:shd w:val="clear" w:color="auto" w:fill="D8E7F7"/>
          </w:tcPr>
          <w:p>
            <w:pPr>
              <w:spacing w:before="0" w:after="0" w:line="250" w:lineRule="auto"/>
              <w:jc w:val="left"/>
            </w:pPr>
            <w:r>
              <w:rPr>
                <w:rFonts w:ascii="Arial" w:hAnsi="Arial" w:cs="Arial"/>
                <w:b/>
                <w:color w:val="122F5C"/>
                <w:sz w:val="17"/>
                <w:szCs w:val="17"/>
              </w:rPr>
              <w:t xml:space="preserve">Total</w:t>
            </w:r>
          </w:p>
        </w:tc>
        <w:tc>
          <w:tcPr>
            <w:tcW w:w="1538"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193.30</w:t>
            </w:r>
          </w:p>
        </w:tc>
        <w:tc>
          <w:tcPr>
            <w:tcW w:w="1538"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99.91</w:t>
            </w:r>
          </w:p>
        </w:tc>
        <w:tc>
          <w:tcPr>
            <w:tcW w:w="1538" w:type="dxa"/>
            <w:tcBorders>
              <w:bottom w:val="single" w:sz="2" w:space="0" w:color="E3E7EC"/>
            </w:tcBorders>
            <w:shd w:val="clear" w:color="auto" w:fill="D8E7F7"/>
          </w:tcPr>
          <w:p>
            <w:pPr>
              <w:spacing w:before="0" w:after="0" w:line="250" w:lineRule="auto"/>
              <w:jc w:val="right"/>
            </w:pPr>
            <w:r>
              <w:rPr>
                <w:rFonts w:ascii="Arial" w:hAnsi="Arial" w:cs="Arial"/>
                <w:b/>
                <w:color w:val="122F5C"/>
                <w:sz w:val="17"/>
                <w:szCs w:val="17"/>
              </w:rPr>
              <w:t xml:space="preserve">93.39</w:t>
            </w:r>
          </w:p>
        </w:tc>
        <w:tc>
          <w:tcPr>
            <w:tcW w:w="1734" w:type="dxa"/>
            <w:tcBorders>
              <w:bottom w:val="single" w:sz="2" w:space="0" w:color="E3E7EC"/>
            </w:tcBorders>
            <w:shd w:val="clear" w:color="auto" w:fill="D8E7F7"/>
          </w:tcPr>
          <w:p>
            <w:pPr>
              <w:spacing w:before="0" w:after="0" w:line="250" w:lineRule="auto"/>
              <w:jc w:val="center"/>
            </w:pP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Contribution ₹ 114.69 lakh; profit-volume ratio 53.44 per cent; break-even sales ₹ 174.76 lakh; margin of safety ₹ 39.84 lakh (18.56 per cent).</w:t>
      </w:r>
    </w:p>
    <w:p>
      <w:r>
        <w:br w:type="page"/>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Annexure VI — Questionnaire Used during the Internship</w:t>
      </w:r>
    </w:p>
    <w:p>
      <w:pPr>
        <w:spacing w:before="0" w:after="130" w:line="264" w:lineRule="auto"/>
        <w:jc w:val="both"/>
      </w:pPr>
      <w:r>
        <w:rPr>
          <w:rFonts w:ascii="Times New Roman" w:hAnsi="Times New Roman" w:cs="Times New Roman"/>
          <w:color w:val="1A1A1A"/>
          <w:sz w:val="21"/>
          <w:szCs w:val="21"/>
        </w:rPr>
        <w:t xml:space="preserve">The following structured questions were put to the management, the company mentor and the accounts team during the internship. Responses were recorded in the working papers and are reflected in the analysis; individual responses are not reproduced, in keeping with the confidentiality undertaking described in Section 8.5.</w:t>
      </w:r>
    </w:p>
    <w:p>
      <w:pPr>
        <w:keepNext/>
        <w:keepLines/>
        <w:spacing w:before="200" w:after="80"/>
      </w:pPr>
      <w:r>
        <w:rPr>
          <w:rFonts w:ascii="Arial" w:hAnsi="Arial" w:cs="Arial"/>
          <w:b/>
          <w:color w:val="1B4B8A"/>
          <w:sz w:val="21"/>
          <w:szCs w:val="21"/>
        </w:rPr>
        <w:t xml:space="preserve">Part A — Organisation and the Finance Function</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1.</w:t>
      </w:r>
      <w:r>
        <w:tab/>
      </w:r>
      <w:r>
        <w:rPr>
          <w:rFonts w:ascii="Times New Roman" w:hAnsi="Times New Roman" w:cs="Times New Roman"/>
          <w:color w:val="1A1A1A"/>
          <w:sz w:val="21"/>
          <w:szCs w:val="21"/>
        </w:rPr>
        <w:t xml:space="preserve">What are the principal service lines and how does each generate revenue?</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2.</w:t>
      </w:r>
      <w:r>
        <w:tab/>
      </w:r>
      <w:r>
        <w:rPr>
          <w:rFonts w:ascii="Times New Roman" w:hAnsi="Times New Roman" w:cs="Times New Roman"/>
          <w:color w:val="1A1A1A"/>
          <w:sz w:val="21"/>
          <w:szCs w:val="21"/>
        </w:rPr>
        <w:t xml:space="preserve">How is the finance and accounts function organised and to whom does it report?</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3.</w:t>
      </w:r>
      <w:r>
        <w:tab/>
      </w:r>
      <w:r>
        <w:rPr>
          <w:rFonts w:ascii="Times New Roman" w:hAnsi="Times New Roman" w:cs="Times New Roman"/>
          <w:color w:val="1A1A1A"/>
          <w:sz w:val="21"/>
          <w:szCs w:val="21"/>
        </w:rPr>
        <w:t xml:space="preserve">What books of account and subsidiary registers are maintained, and in what form?</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4.</w:t>
      </w:r>
      <w:r>
        <w:tab/>
      </w:r>
      <w:r>
        <w:rPr>
          <w:rFonts w:ascii="Times New Roman" w:hAnsi="Times New Roman" w:cs="Times New Roman"/>
          <w:color w:val="1A1A1A"/>
          <w:sz w:val="21"/>
          <w:szCs w:val="21"/>
        </w:rPr>
        <w:t xml:space="preserve">What are the delegated approval limits for expenditure, and how are they evidenced?</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5.</w:t>
      </w:r>
      <w:r>
        <w:tab/>
      </w:r>
      <w:r>
        <w:rPr>
          <w:rFonts w:ascii="Times New Roman" w:hAnsi="Times New Roman" w:cs="Times New Roman"/>
          <w:color w:val="1A1A1A"/>
          <w:sz w:val="21"/>
          <w:szCs w:val="21"/>
        </w:rPr>
        <w:t xml:space="preserve">Which activities are performed in-house and which with professional assistance?</w:t>
      </w:r>
    </w:p>
    <w:p>
      <w:pPr>
        <w:keepNext/>
        <w:keepLines/>
        <w:spacing w:before="200" w:after="80"/>
      </w:pPr>
      <w:r>
        <w:rPr>
          <w:rFonts w:ascii="Arial" w:hAnsi="Arial" w:cs="Arial"/>
          <w:b/>
          <w:color w:val="1B4B8A"/>
          <w:sz w:val="21"/>
          <w:szCs w:val="21"/>
        </w:rPr>
        <w:t xml:space="preserve">Part B — Revenue, Collection and Receivables</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1.</w:t>
      </w:r>
      <w:r>
        <w:tab/>
      </w:r>
      <w:r>
        <w:rPr>
          <w:rFonts w:ascii="Times New Roman" w:hAnsi="Times New Roman" w:cs="Times New Roman"/>
          <w:color w:val="1A1A1A"/>
          <w:sz w:val="21"/>
          <w:szCs w:val="21"/>
        </w:rPr>
        <w:t xml:space="preserve">On what terms is each service line sold — in advance, on delivery or on credit?</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2.</w:t>
      </w:r>
      <w:r>
        <w:tab/>
      </w:r>
      <w:r>
        <w:rPr>
          <w:rFonts w:ascii="Times New Roman" w:hAnsi="Times New Roman" w:cs="Times New Roman"/>
          <w:color w:val="1A1A1A"/>
          <w:sz w:val="21"/>
          <w:szCs w:val="21"/>
        </w:rPr>
        <w:t xml:space="preserve">How are payment gateway settlements reconciled with recorded collections, and how frequently?</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3.</w:t>
      </w:r>
      <w:r>
        <w:tab/>
      </w:r>
      <w:r>
        <w:rPr>
          <w:rFonts w:ascii="Times New Roman" w:hAnsi="Times New Roman" w:cs="Times New Roman"/>
          <w:color w:val="1A1A1A"/>
          <w:sz w:val="21"/>
          <w:szCs w:val="21"/>
        </w:rPr>
        <w:t xml:space="preserve">Is there a written credit policy for institutional clients? If not, how are credit limits determined?</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4.</w:t>
      </w:r>
      <w:r>
        <w:tab/>
      </w:r>
      <w:r>
        <w:rPr>
          <w:rFonts w:ascii="Times New Roman" w:hAnsi="Times New Roman" w:cs="Times New Roman"/>
          <w:color w:val="1A1A1A"/>
          <w:sz w:val="21"/>
          <w:szCs w:val="21"/>
        </w:rPr>
        <w:t xml:space="preserve">How is an overdue receivable followed up, and at what point is it escalated?</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5.</w:t>
      </w:r>
      <w:r>
        <w:tab/>
      </w:r>
      <w:r>
        <w:rPr>
          <w:rFonts w:ascii="Times New Roman" w:hAnsi="Times New Roman" w:cs="Times New Roman"/>
          <w:color w:val="1A1A1A"/>
          <w:sz w:val="21"/>
          <w:szCs w:val="21"/>
        </w:rPr>
        <w:t xml:space="preserve">Is any provision made for doubtful debts, and on what basis?</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6.</w:t>
      </w:r>
      <w:r>
        <w:tab/>
      </w:r>
      <w:r>
        <w:rPr>
          <w:rFonts w:ascii="Times New Roman" w:hAnsi="Times New Roman" w:cs="Times New Roman"/>
          <w:color w:val="1A1A1A"/>
          <w:sz w:val="21"/>
          <w:szCs w:val="21"/>
        </w:rPr>
        <w:t xml:space="preserve">What proportion of revenue is contracted in advance at the start of a financial year?</w:t>
      </w:r>
    </w:p>
    <w:p>
      <w:pPr>
        <w:keepNext/>
        <w:keepLines/>
        <w:spacing w:before="200" w:after="80"/>
      </w:pPr>
      <w:r>
        <w:rPr>
          <w:rFonts w:ascii="Arial" w:hAnsi="Arial" w:cs="Arial"/>
          <w:b/>
          <w:color w:val="1B4B8A"/>
          <w:sz w:val="21"/>
          <w:szCs w:val="21"/>
        </w:rPr>
        <w:t xml:space="preserve">Part C — Budgeting and Cost Control</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1.</w:t>
      </w:r>
      <w:r>
        <w:tab/>
      </w:r>
      <w:r>
        <w:rPr>
          <w:rFonts w:ascii="Times New Roman" w:hAnsi="Times New Roman" w:cs="Times New Roman"/>
          <w:color w:val="1A1A1A"/>
          <w:sz w:val="21"/>
          <w:szCs w:val="21"/>
        </w:rPr>
        <w:t xml:space="preserve">How is the annual budget prepared, and which functions participate?</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2.</w:t>
      </w:r>
      <w:r>
        <w:tab/>
      </w:r>
      <w:r>
        <w:rPr>
          <w:rFonts w:ascii="Times New Roman" w:hAnsi="Times New Roman" w:cs="Times New Roman"/>
          <w:color w:val="1A1A1A"/>
          <w:sz w:val="21"/>
          <w:szCs w:val="21"/>
        </w:rPr>
        <w:t xml:space="preserve">On what basis is the marketing provision determined?</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3.</w:t>
      </w:r>
      <w:r>
        <w:tab/>
      </w:r>
      <w:r>
        <w:rPr>
          <w:rFonts w:ascii="Times New Roman" w:hAnsi="Times New Roman" w:cs="Times New Roman"/>
          <w:color w:val="1A1A1A"/>
          <w:sz w:val="21"/>
          <w:szCs w:val="21"/>
        </w:rPr>
        <w:t xml:space="preserve">How frequently is actual performance compared against budget, and by whom?</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4.</w:t>
      </w:r>
      <w:r>
        <w:tab/>
      </w:r>
      <w:r>
        <w:rPr>
          <w:rFonts w:ascii="Times New Roman" w:hAnsi="Times New Roman" w:cs="Times New Roman"/>
          <w:color w:val="1A1A1A"/>
          <w:sz w:val="21"/>
          <w:szCs w:val="21"/>
        </w:rPr>
        <w:t xml:space="preserve">Is any individual formally accountable for a named budget head?</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5.</w:t>
      </w:r>
      <w:r>
        <w:tab/>
      </w:r>
      <w:r>
        <w:rPr>
          <w:rFonts w:ascii="Times New Roman" w:hAnsi="Times New Roman" w:cs="Times New Roman"/>
          <w:color w:val="1A1A1A"/>
          <w:sz w:val="21"/>
          <w:szCs w:val="21"/>
        </w:rPr>
        <w:t xml:space="preserve">Is a cash budget prepared? If not, how is the lean quarter planned for?</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6.</w:t>
      </w:r>
      <w:r>
        <w:tab/>
      </w:r>
      <w:r>
        <w:rPr>
          <w:rFonts w:ascii="Times New Roman" w:hAnsi="Times New Roman" w:cs="Times New Roman"/>
          <w:color w:val="1A1A1A"/>
          <w:sz w:val="21"/>
          <w:szCs w:val="21"/>
        </w:rPr>
        <w:t xml:space="preserve">Which costs are regarded by management as fixed and which as variable, and why?</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7.</w:t>
      </w:r>
      <w:r>
        <w:tab/>
      </w:r>
      <w:r>
        <w:rPr>
          <w:rFonts w:ascii="Times New Roman" w:hAnsi="Times New Roman" w:cs="Times New Roman"/>
          <w:color w:val="1A1A1A"/>
          <w:sz w:val="21"/>
          <w:szCs w:val="21"/>
        </w:rPr>
        <w:t xml:space="preserve">What specific cost control measures have been introduced in the last three years, and what effect have they had?</w:t>
      </w:r>
    </w:p>
    <w:p>
      <w:pPr>
        <w:keepNext/>
        <w:keepLines/>
        <w:spacing w:before="200" w:after="80"/>
      </w:pPr>
      <w:r>
        <w:rPr>
          <w:rFonts w:ascii="Arial" w:hAnsi="Arial" w:cs="Arial"/>
          <w:b/>
          <w:color w:val="1B4B8A"/>
          <w:sz w:val="21"/>
          <w:szCs w:val="21"/>
        </w:rPr>
        <w:t xml:space="preserve">Part D — Financing, Investment and Performance</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1.</w:t>
      </w:r>
      <w:r>
        <w:tab/>
      </w:r>
      <w:r>
        <w:rPr>
          <w:rFonts w:ascii="Times New Roman" w:hAnsi="Times New Roman" w:cs="Times New Roman"/>
          <w:color w:val="1A1A1A"/>
          <w:sz w:val="21"/>
          <w:szCs w:val="21"/>
        </w:rPr>
        <w:t xml:space="preserve">How has growth been financed over the last three years?</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2.</w:t>
      </w:r>
      <w:r>
        <w:tab/>
      </w:r>
      <w:r>
        <w:rPr>
          <w:rFonts w:ascii="Times New Roman" w:hAnsi="Times New Roman" w:cs="Times New Roman"/>
          <w:color w:val="1A1A1A"/>
          <w:sz w:val="21"/>
          <w:szCs w:val="21"/>
        </w:rPr>
        <w:t xml:space="preserve">What is the policy on borrowing, and has a working capital limit been considered?</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3.</w:t>
      </w:r>
      <w:r>
        <w:tab/>
      </w:r>
      <w:r>
        <w:rPr>
          <w:rFonts w:ascii="Times New Roman" w:hAnsi="Times New Roman" w:cs="Times New Roman"/>
          <w:color w:val="1A1A1A"/>
          <w:sz w:val="21"/>
          <w:szCs w:val="21"/>
        </w:rPr>
        <w:t xml:space="preserve">How are capital expenditure proposals evaluated and approved?</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4.</w:t>
      </w:r>
      <w:r>
        <w:tab/>
      </w:r>
      <w:r>
        <w:rPr>
          <w:rFonts w:ascii="Times New Roman" w:hAnsi="Times New Roman" w:cs="Times New Roman"/>
          <w:color w:val="1A1A1A"/>
          <w:sz w:val="21"/>
          <w:szCs w:val="21"/>
        </w:rPr>
        <w:t xml:space="preserve">Which financial indicators does management actually monitor, and at what interval?</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5.</w:t>
      </w:r>
      <w:r>
        <w:tab/>
      </w:r>
      <w:r>
        <w:rPr>
          <w:rFonts w:ascii="Times New Roman" w:hAnsi="Times New Roman" w:cs="Times New Roman"/>
          <w:color w:val="1A1A1A"/>
          <w:sz w:val="21"/>
          <w:szCs w:val="21"/>
        </w:rPr>
        <w:t xml:space="preserve">What does management regard as the principal financial risk facing the business?</w:t>
      </w:r>
    </w:p>
    <w:p>
      <w:pPr>
        <w:tabs>
          <w:tab w:val="left" w:pos="360"/>
        </w:tabs>
        <w:spacing w:before="0" w:after="90" w:line="264" w:lineRule="auto"/>
        <w:ind w:left="360" w:right="0" w:hanging="360"/>
        <w:jc w:val="both"/>
      </w:pPr>
      <w:r>
        <w:rPr>
          <w:rFonts w:ascii="Times New Roman" w:hAnsi="Times New Roman" w:cs="Times New Roman"/>
          <w:b/>
          <w:color w:val="E87A1E"/>
          <w:sz w:val="21"/>
          <w:szCs w:val="21"/>
        </w:rPr>
        <w:t xml:space="preserve">6.</w:t>
      </w:r>
      <w:r>
        <w:tab/>
      </w:r>
      <w:r>
        <w:rPr>
          <w:rFonts w:ascii="Times New Roman" w:hAnsi="Times New Roman" w:cs="Times New Roman"/>
          <w:color w:val="1A1A1A"/>
          <w:sz w:val="21"/>
          <w:szCs w:val="21"/>
        </w:rPr>
        <w:t xml:space="preserve">How is the seasonality of enrolment planned for financially?</w:t>
      </w:r>
    </w:p>
    <w:p>
      <w:r>
        <w:br w:type="page"/>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Annexure VII — Weekly Diary of Work Performed</w:t>
      </w:r>
    </w:p>
    <w:p>
      <w:pPr>
        <w:keepNext/>
        <w:keepLines/>
        <w:spacing w:before="220" w:after="60"/>
      </w:pPr>
      <w:r>
        <w:rPr>
          <w:rFonts w:ascii="Arial" w:hAnsi="Arial" w:cs="Arial"/>
          <w:b/>
          <w:color w:val="E87A1E"/>
          <w:sz w:val="19"/>
          <w:szCs w:val="19"/>
        </w:rPr>
        <w:t xml:space="preserve">Table A7.1  </w:t>
      </w:r>
      <w:r>
        <w:rPr>
          <w:rFonts w:ascii="Arial" w:hAnsi="Arial" w:cs="Arial"/>
          <w:b/>
          <w:color w:val="122F5C"/>
          <w:sz w:val="19"/>
          <w:szCs w:val="19"/>
        </w:rPr>
        <w:t xml:space="preserve">Weekly record of work, deliverables and review</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865"/>
        <w:gridCol w:w="1635"/>
        <w:gridCol w:w="4424"/>
        <w:gridCol w:w="1154"/>
        <w:gridCol w:w="1540"/>
      </w:tblGrid>
      <w:tr>
        <w:trPr>
          <w:cantSplit/>
          <w:tblHeader/>
        </w:trPr>
        <w:tc>
          <w:tcPr>
            <w:tcW w:w="865" w:type="dxa"/>
            <w:shd w:val="clear" w:color="auto" w:fill="122F5C"/>
            <w:vAlign w:val="center"/>
          </w:tcPr>
          <w:p>
            <w:pPr>
              <w:spacing w:before="0" w:after="0"/>
              <w:jc w:val="left"/>
            </w:pPr>
            <w:r>
              <w:rPr>
                <w:rFonts w:ascii="Arial" w:hAnsi="Arial" w:cs="Arial"/>
                <w:b/>
                <w:color w:val="FFFFFF"/>
                <w:sz w:val="15"/>
                <w:szCs w:val="15"/>
              </w:rPr>
              <w:t xml:space="preserve">Week</w:t>
            </w:r>
          </w:p>
        </w:tc>
        <w:tc>
          <w:tcPr>
            <w:tcW w:w="1635" w:type="dxa"/>
            <w:shd w:val="clear" w:color="auto" w:fill="122F5C"/>
            <w:vAlign w:val="center"/>
          </w:tcPr>
          <w:p>
            <w:pPr>
              <w:spacing w:before="0" w:after="0"/>
              <w:jc w:val="left"/>
            </w:pPr>
            <w:r>
              <w:rPr>
                <w:rFonts w:ascii="Arial" w:hAnsi="Arial" w:cs="Arial"/>
                <w:b/>
                <w:color w:val="FFFFFF"/>
                <w:sz w:val="15"/>
                <w:szCs w:val="15"/>
              </w:rPr>
              <w:t xml:space="preserve">Dates</w:t>
            </w:r>
          </w:p>
        </w:tc>
        <w:tc>
          <w:tcPr>
            <w:tcW w:w="4424" w:type="dxa"/>
            <w:shd w:val="clear" w:color="auto" w:fill="122F5C"/>
            <w:vAlign w:val="center"/>
          </w:tcPr>
          <w:p>
            <w:pPr>
              <w:spacing w:before="0" w:after="0"/>
              <w:jc w:val="left"/>
            </w:pPr>
            <w:r>
              <w:rPr>
                <w:rFonts w:ascii="Arial" w:hAnsi="Arial" w:cs="Arial"/>
                <w:b/>
                <w:color w:val="FFFFFF"/>
                <w:sz w:val="15"/>
                <w:szCs w:val="15"/>
              </w:rPr>
              <w:t xml:space="preserve">Work performed</w:t>
            </w:r>
          </w:p>
        </w:tc>
        <w:tc>
          <w:tcPr>
            <w:tcW w:w="1154" w:type="dxa"/>
            <w:shd w:val="clear" w:color="auto" w:fill="122F5C"/>
            <w:vAlign w:val="center"/>
          </w:tcPr>
          <w:p>
            <w:pPr>
              <w:spacing w:before="0" w:after="0"/>
              <w:jc w:val="center"/>
            </w:pPr>
            <w:r>
              <w:rPr>
                <w:rFonts w:ascii="Arial" w:hAnsi="Arial" w:cs="Arial"/>
                <w:b/>
                <w:color w:val="FFFFFF"/>
                <w:sz w:val="15"/>
                <w:szCs w:val="15"/>
              </w:rPr>
              <w:t xml:space="preserve">Reviewed</w:t>
            </w:r>
          </w:p>
        </w:tc>
        <w:tc>
          <w:tcPr>
            <w:tcW w:w="1540" w:type="dxa"/>
            <w:shd w:val="clear" w:color="auto" w:fill="122F5C"/>
            <w:vAlign w:val="center"/>
          </w:tcPr>
          <w:p>
            <w:pPr>
              <w:spacing w:before="0" w:after="0"/>
              <w:jc w:val="center"/>
            </w:pPr>
            <w:r>
              <w:rPr>
                <w:rFonts w:ascii="Arial" w:hAnsi="Arial" w:cs="Arial"/>
                <w:b/>
                <w:color w:val="FFFFFF"/>
                <w:sz w:val="15"/>
                <w:szCs w:val="15"/>
              </w:rPr>
              <w:t xml:space="preserve">Chapter</w:t>
            </w:r>
          </w:p>
        </w:tc>
      </w:tr>
      <w:tr>
        <w:trPr>
          <w:cantSplit/>
        </w:trPr>
        <w:tc>
          <w:tcPr>
            <w:tcW w:w="86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5"/>
                <w:szCs w:val="15"/>
              </w:rPr>
              <w:t xml:space="preserve">Week 1</w:t>
            </w:r>
          </w:p>
        </w:tc>
        <w:tc>
          <w:tcPr>
            <w:tcW w:w="163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5"/>
                <w:szCs w:val="15"/>
              </w:rPr>
              <w:t xml:space="preserve">08 Jun - 13 Jun 2026</w:t>
            </w:r>
          </w:p>
        </w:tc>
        <w:tc>
          <w:tcPr>
            <w:tcW w:w="4424"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5"/>
                <w:szCs w:val="15"/>
              </w:rPr>
              <w:t xml:space="preserve">Company overview, service lines, reporting structure, statutory registrations, familiarisation with the accounting environment and the internal control checklist.</w:t>
            </w:r>
          </w:p>
        </w:tc>
        <w:tc>
          <w:tcPr>
            <w:tcW w:w="115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5"/>
                <w:szCs w:val="15"/>
              </w:rPr>
              <w:t xml:space="preserve">Saturday</w:t>
            </w:r>
          </w:p>
        </w:tc>
        <w:tc>
          <w:tcPr>
            <w:tcW w:w="1540"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5"/>
                <w:szCs w:val="15"/>
              </w:rPr>
              <w:t xml:space="preserve">2, 3</w:t>
            </w:r>
          </w:p>
        </w:tc>
      </w:tr>
      <w:tr>
        <w:trPr>
          <w:cantSplit/>
        </w:trPr>
        <w:tc>
          <w:tcPr>
            <w:tcW w:w="86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5"/>
                <w:szCs w:val="15"/>
              </w:rPr>
              <w:t xml:space="preserve">Week 2</w:t>
            </w:r>
          </w:p>
        </w:tc>
        <w:tc>
          <w:tcPr>
            <w:tcW w:w="163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5"/>
                <w:szCs w:val="15"/>
              </w:rPr>
              <w:t xml:space="preserve">15 Jun - 20 Jun 2026</w:t>
            </w:r>
          </w:p>
        </w:tc>
        <w:tc>
          <w:tcPr>
            <w:tcW w:w="4424"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5"/>
                <w:szCs w:val="15"/>
              </w:rPr>
              <w:t xml:space="preserve">Classification of vouchers, ledger scrutiny, receipt and payment posting, reconciliation of the payment-gateway statement with recorded collections.</w:t>
            </w:r>
          </w:p>
        </w:tc>
        <w:tc>
          <w:tcPr>
            <w:tcW w:w="1154"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5"/>
                <w:szCs w:val="15"/>
              </w:rPr>
              <w:t xml:space="preserve">Saturday</w:t>
            </w:r>
          </w:p>
        </w:tc>
        <w:tc>
          <w:tcPr>
            <w:tcW w:w="1540"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5"/>
                <w:szCs w:val="15"/>
              </w:rPr>
              <w:t xml:space="preserve">3, 4</w:t>
            </w:r>
          </w:p>
        </w:tc>
      </w:tr>
      <w:tr>
        <w:trPr>
          <w:cantSplit/>
        </w:trPr>
        <w:tc>
          <w:tcPr>
            <w:tcW w:w="86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5"/>
                <w:szCs w:val="15"/>
              </w:rPr>
              <w:t xml:space="preserve">Week 3</w:t>
            </w:r>
          </w:p>
        </w:tc>
        <w:tc>
          <w:tcPr>
            <w:tcW w:w="163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5"/>
                <w:szCs w:val="15"/>
              </w:rPr>
              <w:t xml:space="preserve">22 Jun - 27 Jun 2026</w:t>
            </w:r>
          </w:p>
        </w:tc>
        <w:tc>
          <w:tcPr>
            <w:tcW w:w="4424"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5"/>
                <w:szCs w:val="15"/>
              </w:rPr>
              <w:t xml:space="preserve">Ageing of trade receivables, follow-up register for college tie-ups, computation of debtor days and preparation of a collection priority list.</w:t>
            </w:r>
          </w:p>
        </w:tc>
        <w:tc>
          <w:tcPr>
            <w:tcW w:w="115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5"/>
                <w:szCs w:val="15"/>
              </w:rPr>
              <w:t xml:space="preserve">Saturday</w:t>
            </w:r>
          </w:p>
        </w:tc>
        <w:tc>
          <w:tcPr>
            <w:tcW w:w="1540"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5"/>
                <w:szCs w:val="15"/>
              </w:rPr>
              <w:t xml:space="preserve">4, 6</w:t>
            </w:r>
          </w:p>
        </w:tc>
      </w:tr>
      <w:tr>
        <w:trPr>
          <w:cantSplit/>
        </w:trPr>
        <w:tc>
          <w:tcPr>
            <w:tcW w:w="86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5"/>
                <w:szCs w:val="15"/>
              </w:rPr>
              <w:t xml:space="preserve">Week 4</w:t>
            </w:r>
          </w:p>
        </w:tc>
        <w:tc>
          <w:tcPr>
            <w:tcW w:w="163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5"/>
                <w:szCs w:val="15"/>
              </w:rPr>
              <w:t xml:space="preserve">29 Jun - 04 Jul 2026</w:t>
            </w:r>
          </w:p>
        </w:tc>
        <w:tc>
          <w:tcPr>
            <w:tcW w:w="4424"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5"/>
                <w:szCs w:val="15"/>
              </w:rPr>
              <w:t xml:space="preserve">Building the cohort-wise cost sheet, comparing budgeted and actual heads, quantifying variances and identifying controllable overspends.</w:t>
            </w:r>
          </w:p>
        </w:tc>
        <w:tc>
          <w:tcPr>
            <w:tcW w:w="1154"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5"/>
                <w:szCs w:val="15"/>
              </w:rPr>
              <w:t xml:space="preserve">Saturday</w:t>
            </w:r>
          </w:p>
        </w:tc>
        <w:tc>
          <w:tcPr>
            <w:tcW w:w="1540"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5"/>
                <w:szCs w:val="15"/>
              </w:rPr>
              <w:t xml:space="preserve">5</w:t>
            </w:r>
          </w:p>
        </w:tc>
      </w:tr>
      <w:tr>
        <w:trPr>
          <w:cantSplit/>
        </w:trPr>
        <w:tc>
          <w:tcPr>
            <w:tcW w:w="86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5"/>
                <w:szCs w:val="15"/>
              </w:rPr>
              <w:t xml:space="preserve">Week 5</w:t>
            </w:r>
          </w:p>
        </w:tc>
        <w:tc>
          <w:tcPr>
            <w:tcW w:w="163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5"/>
                <w:szCs w:val="15"/>
              </w:rPr>
              <w:t xml:space="preserve">06 Jul - 11 Jul 2026</w:t>
            </w:r>
          </w:p>
        </w:tc>
        <w:tc>
          <w:tcPr>
            <w:tcW w:w="4424"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5"/>
                <w:szCs w:val="15"/>
              </w:rPr>
              <w:t xml:space="preserve">Computation of liquidity, profitability, solvency and activity ratios for three years, trend charts and DuPont decomposition of return on equity.</w:t>
            </w:r>
          </w:p>
        </w:tc>
        <w:tc>
          <w:tcPr>
            <w:tcW w:w="115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5"/>
                <w:szCs w:val="15"/>
              </w:rPr>
              <w:t xml:space="preserve">Saturday</w:t>
            </w:r>
          </w:p>
        </w:tc>
        <w:tc>
          <w:tcPr>
            <w:tcW w:w="1540"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5"/>
                <w:szCs w:val="15"/>
              </w:rPr>
              <w:t xml:space="preserve">6</w:t>
            </w:r>
          </w:p>
        </w:tc>
      </w:tr>
      <w:tr>
        <w:trPr>
          <w:cantSplit/>
        </w:trPr>
        <w:tc>
          <w:tcPr>
            <w:tcW w:w="86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5"/>
                <w:szCs w:val="15"/>
              </w:rPr>
              <w:t xml:space="preserve">Week 6</w:t>
            </w:r>
          </w:p>
        </w:tc>
        <w:tc>
          <w:tcPr>
            <w:tcW w:w="1635"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5"/>
                <w:szCs w:val="15"/>
              </w:rPr>
              <w:t xml:space="preserve">13 Jul - 18 Jul 2026</w:t>
            </w:r>
          </w:p>
        </w:tc>
        <w:tc>
          <w:tcPr>
            <w:tcW w:w="4424"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5"/>
                <w:szCs w:val="15"/>
              </w:rPr>
              <w:t xml:space="preserve">Segregation of fixed and variable costs, contribution and P/V ratio, break-even sales, margin of safety and leverage computation.</w:t>
            </w:r>
          </w:p>
        </w:tc>
        <w:tc>
          <w:tcPr>
            <w:tcW w:w="1154"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5"/>
                <w:szCs w:val="15"/>
              </w:rPr>
              <w:t xml:space="preserve">Saturday</w:t>
            </w:r>
          </w:p>
        </w:tc>
        <w:tc>
          <w:tcPr>
            <w:tcW w:w="1540" w:type="dxa"/>
            <w:tcBorders>
              <w:bottom w:val="single" w:sz="2" w:space="0" w:color="E3E7EC"/>
            </w:tcBorders>
            <w:shd w:val="clear" w:color="auto" w:fill="FAFBFD"/>
          </w:tcPr>
          <w:p>
            <w:pPr>
              <w:spacing w:before="0" w:after="0" w:line="250" w:lineRule="auto"/>
              <w:jc w:val="center"/>
            </w:pPr>
            <w:r>
              <w:rPr>
                <w:rFonts w:ascii="Times New Roman" w:hAnsi="Times New Roman" w:cs="Times New Roman"/>
                <w:color w:val="1A1A1A"/>
                <w:sz w:val="15"/>
                <w:szCs w:val="15"/>
              </w:rPr>
              <w:t xml:space="preserve">5</w:t>
            </w:r>
          </w:p>
        </w:tc>
      </w:tr>
      <w:tr>
        <w:trPr>
          <w:cantSplit/>
        </w:trPr>
        <w:tc>
          <w:tcPr>
            <w:tcW w:w="86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5"/>
                <w:szCs w:val="15"/>
              </w:rPr>
              <w:t xml:space="preserve">Week 7</w:t>
            </w:r>
          </w:p>
        </w:tc>
        <w:tc>
          <w:tcPr>
            <w:tcW w:w="1635"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5"/>
                <w:szCs w:val="15"/>
              </w:rPr>
              <w:t xml:space="preserve">20 Jul - 21 Jul 2026</w:t>
            </w:r>
          </w:p>
        </w:tc>
        <w:tc>
          <w:tcPr>
            <w:tcW w:w="4424"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5"/>
                <w:szCs w:val="15"/>
              </w:rPr>
              <w:t xml:space="preserve">Consolidation of findings, drafting of suggestions, review with the company mentor and presentation of the concluding summary.</w:t>
            </w:r>
          </w:p>
        </w:tc>
        <w:tc>
          <w:tcPr>
            <w:tcW w:w="1154"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5"/>
                <w:szCs w:val="15"/>
              </w:rPr>
              <w:t xml:space="preserve">Saturday</w:t>
            </w:r>
          </w:p>
        </w:tc>
        <w:tc>
          <w:tcPr>
            <w:tcW w:w="1540" w:type="dxa"/>
            <w:tcBorders>
              <w:bottom w:val="single" w:sz="2" w:space="0" w:color="E3E7EC"/>
            </w:tcBorders>
            <w:shd w:val="clear" w:color="auto" w:fill="FFFFFF"/>
          </w:tcPr>
          <w:p>
            <w:pPr>
              <w:spacing w:before="0" w:after="0" w:line="250" w:lineRule="auto"/>
              <w:jc w:val="center"/>
            </w:pPr>
            <w:r>
              <w:rPr>
                <w:rFonts w:ascii="Times New Roman" w:hAnsi="Times New Roman" w:cs="Times New Roman"/>
                <w:color w:val="1A1A1A"/>
                <w:sz w:val="15"/>
                <w:szCs w:val="15"/>
              </w:rPr>
              <w:t xml:space="preserve">9, 10</w:t>
            </w:r>
          </w:p>
        </w:tc>
      </w:tr>
    </w:tbl>
    <w:p>
      <w:pPr>
        <w:spacing w:before="60" w:after="180" w:line="230" w:lineRule="auto"/>
      </w:pPr>
      <w:r>
        <w:rPr>
          <w:rFonts w:ascii="Arial" w:hAnsi="Arial" w:cs="Arial"/>
          <w:b/>
          <w:color w:val="8A919C"/>
          <w:sz w:val="16"/>
          <w:szCs w:val="16"/>
        </w:rPr>
        <w:t xml:space="preserve">Note:  </w:t>
      </w:r>
      <w:r>
        <w:rPr>
          <w:rFonts w:ascii="Times New Roman" w:hAnsi="Times New Roman" w:cs="Times New Roman"/>
          <w:color w:val="8A919C"/>
          <w:sz w:val="16"/>
          <w:szCs w:val="16"/>
        </w:rPr>
        <w:t xml:space="preserve">The weekly review with the company mentor was held every Saturday. The final column records the chapter of this report into which the week's work fed.</w:t>
      </w:r>
    </w:p>
    <w:p>
      <w:r>
        <w:br w:type="page"/>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Annexure VIII — Attendance and Certification Record</w:t>
      </w:r>
    </w:p>
    <w:p>
      <w:pPr>
        <w:keepNext/>
        <w:keepLines/>
        <w:spacing w:before="220" w:after="60"/>
      </w:pPr>
      <w:r>
        <w:rPr>
          <w:rFonts w:ascii="Arial" w:hAnsi="Arial" w:cs="Arial"/>
          <w:b/>
          <w:color w:val="E87A1E"/>
          <w:sz w:val="19"/>
          <w:szCs w:val="19"/>
        </w:rPr>
        <w:t xml:space="preserve">Table A8.1  </w:t>
      </w:r>
      <w:r>
        <w:rPr>
          <w:rFonts w:ascii="Arial" w:hAnsi="Arial" w:cs="Arial"/>
          <w:b/>
          <w:color w:val="122F5C"/>
          <w:sz w:val="19"/>
          <w:szCs w:val="19"/>
        </w:rPr>
        <w:t xml:space="preserve">Summary of attendance</w:t>
      </w:r>
    </w:p>
    <w:tbl>
      <w:tblPr>
        <w:tblW w:w="9618" w:type="dxa"/>
        <w:tblBorders>
          <w:top w:val="single" w:sz="8" w:space="0" w:color="122F5C"/>
          <w:bottom w:val="single" w:sz="8" w:space="0" w:color="122F5C"/>
        </w:tblBorders>
        <w:tblLayout w:type="fixed"/>
        <w:tblCellMar>
          <w:top w:w="70" w:type="dxa"/>
          <w:left w:w="100" w:type="dxa"/>
          <w:bottom w:w="70" w:type="dxa"/>
          <w:right w:w="100" w:type="dxa"/>
        </w:tblCellMar>
      </w:tblPr>
      <w:tblGrid>
        <w:gridCol w:w="5386"/>
        <w:gridCol w:w="4232"/>
      </w:tblGrid>
      <w:tr>
        <w:trPr>
          <w:cantSplit/>
          <w:tblHeader/>
        </w:trPr>
        <w:tc>
          <w:tcPr>
            <w:tcW w:w="5386" w:type="dxa"/>
            <w:shd w:val="clear" w:color="auto" w:fill="122F5C"/>
            <w:vAlign w:val="center"/>
          </w:tcPr>
          <w:p>
            <w:pPr>
              <w:spacing w:before="0" w:after="0"/>
              <w:jc w:val="left"/>
            </w:pPr>
            <w:r>
              <w:rPr>
                <w:rFonts w:ascii="Arial" w:hAnsi="Arial" w:cs="Arial"/>
                <w:b/>
                <w:color w:val="FFFFFF"/>
                <w:sz w:val="18"/>
                <w:szCs w:val="18"/>
              </w:rPr>
              <w:t xml:space="preserve">Particulars</w:t>
            </w:r>
          </w:p>
        </w:tc>
        <w:tc>
          <w:tcPr>
            <w:tcW w:w="4232" w:type="dxa"/>
            <w:shd w:val="clear" w:color="auto" w:fill="122F5C"/>
            <w:vAlign w:val="center"/>
          </w:tcPr>
          <w:p>
            <w:pPr>
              <w:spacing w:before="0" w:after="0"/>
              <w:jc w:val="left"/>
            </w:pPr>
            <w:r>
              <w:rPr>
                <w:rFonts w:ascii="Arial" w:hAnsi="Arial" w:cs="Arial"/>
                <w:b/>
                <w:color w:val="FFFFFF"/>
                <w:sz w:val="18"/>
                <w:szCs w:val="18"/>
              </w:rPr>
              <w:t xml:space="preserve">Details</w:t>
            </w:r>
          </w:p>
        </w:tc>
      </w:tr>
      <w:tr>
        <w:trPr>
          <w:cantSplit/>
        </w:trPr>
        <w:tc>
          <w:tcPr>
            <w:tcW w:w="5386"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Date of commencement</w:t>
            </w:r>
          </w:p>
        </w:tc>
        <w:tc>
          <w:tcPr>
            <w:tcW w:w="4232"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6th June 2026</w:t>
            </w:r>
          </w:p>
        </w:tc>
      </w:tr>
      <w:tr>
        <w:trPr>
          <w:cantSplit/>
        </w:trPr>
        <w:tc>
          <w:tcPr>
            <w:tcW w:w="5386"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Date of completion</w:t>
            </w:r>
          </w:p>
        </w:tc>
        <w:tc>
          <w:tcPr>
            <w:tcW w:w="4232"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21st July 2026</w:t>
            </w:r>
          </w:p>
        </w:tc>
      </w:tr>
      <w:tr>
        <w:trPr>
          <w:cantSplit/>
        </w:trPr>
        <w:tc>
          <w:tcPr>
            <w:tcW w:w="5386"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Total calendar period</w:t>
            </w:r>
          </w:p>
        </w:tc>
        <w:tc>
          <w:tcPr>
            <w:tcW w:w="4232"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46 Days</w:t>
            </w:r>
          </w:p>
        </w:tc>
      </w:tr>
      <w:tr>
        <w:trPr>
          <w:cantSplit/>
        </w:trPr>
        <w:tc>
          <w:tcPr>
            <w:tcW w:w="5386"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Effective duration</w:t>
            </w:r>
          </w:p>
        </w:tc>
        <w:tc>
          <w:tcPr>
            <w:tcW w:w="4232"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Six Weeks and Five Days</w:t>
            </w:r>
          </w:p>
        </w:tc>
      </w:tr>
      <w:tr>
        <w:trPr>
          <w:cantSplit/>
        </w:trPr>
        <w:tc>
          <w:tcPr>
            <w:tcW w:w="5386"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Working pattern</w:t>
            </w:r>
          </w:p>
        </w:tc>
        <w:tc>
          <w:tcPr>
            <w:tcW w:w="4232"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Monday to Saturday</w:t>
            </w:r>
          </w:p>
        </w:tc>
      </w:tr>
      <w:tr>
        <w:trPr>
          <w:cantSplit/>
        </w:trPr>
        <w:tc>
          <w:tcPr>
            <w:tcW w:w="5386"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Reporting frequency</w:t>
            </w:r>
          </w:p>
        </w:tc>
        <w:tc>
          <w:tcPr>
            <w:tcW w:w="4232"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Weekly review every Saturday with the company mentor</w:t>
            </w:r>
          </w:p>
        </w:tc>
      </w:tr>
      <w:tr>
        <w:trPr>
          <w:cantSplit/>
        </w:trPr>
        <w:tc>
          <w:tcPr>
            <w:tcW w:w="5386"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Function</w:t>
            </w:r>
          </w:p>
        </w:tc>
        <w:tc>
          <w:tcPr>
            <w:tcW w:w="4232"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Finance and Accounts</w:t>
            </w:r>
          </w:p>
        </w:tc>
      </w:tr>
      <w:tr>
        <w:trPr>
          <w:cantSplit/>
        </w:trPr>
        <w:tc>
          <w:tcPr>
            <w:tcW w:w="5386"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Place of work</w:t>
            </w:r>
          </w:p>
        </w:tc>
        <w:tc>
          <w:tcPr>
            <w:tcW w:w="4232" w:type="dxa"/>
            <w:tcBorders>
              <w:bottom w:val="single" w:sz="2" w:space="0" w:color="E3E7EC"/>
            </w:tcBorders>
            <w:shd w:val="clear" w:color="auto" w:fill="FAFBFD"/>
          </w:tcPr>
          <w:p>
            <w:pPr>
              <w:spacing w:before="0" w:after="0" w:line="250" w:lineRule="auto"/>
              <w:jc w:val="left"/>
            </w:pPr>
            <w:r>
              <w:rPr>
                <w:rFonts w:ascii="Times New Roman" w:hAnsi="Times New Roman" w:cs="Times New Roman"/>
                <w:color w:val="1A1A1A"/>
                <w:sz w:val="18"/>
                <w:szCs w:val="18"/>
              </w:rPr>
              <w:t xml:space="preserve">B-Hub, Maurya Lok Complex, Patna</w:t>
            </w:r>
          </w:p>
        </w:tc>
      </w:tr>
      <w:tr>
        <w:trPr>
          <w:cantSplit/>
        </w:trPr>
        <w:tc>
          <w:tcPr>
            <w:tcW w:w="5386"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Certificate issued</w:t>
            </w:r>
          </w:p>
        </w:tc>
        <w:tc>
          <w:tcPr>
            <w:tcW w:w="4232" w:type="dxa"/>
            <w:tcBorders>
              <w:bottom w:val="single" w:sz="2" w:space="0" w:color="E3E7EC"/>
            </w:tcBorders>
            <w:shd w:val="clear" w:color="auto" w:fill="FFFFFF"/>
          </w:tcPr>
          <w:p>
            <w:pPr>
              <w:spacing w:before="0" w:after="0" w:line="250" w:lineRule="auto"/>
              <w:jc w:val="left"/>
            </w:pPr>
            <w:r>
              <w:rPr>
                <w:rFonts w:ascii="Times New Roman" w:hAnsi="Times New Roman" w:cs="Times New Roman"/>
                <w:color w:val="1A1A1A"/>
                <w:sz w:val="18"/>
                <w:szCs w:val="18"/>
              </w:rPr>
              <w:t xml:space="preserve">Certificate of Completion, reproduced in the front matter of this report</w:t>
            </w:r>
          </w:p>
        </w:tc>
      </w:tr>
    </w:tbl>
    <w:p>
      <w:pPr>
        <w:spacing w:before="0" w:after="0"/>
      </w:pPr>
      <w:r>
        <w:rPr>
          <w:sz w:val="16"/>
        </w:rPr>
        <w:t/>
      </w:r>
    </w:p>
    <w:p>
      <w:pPr>
        <w:spacing w:before="0" w:after="0"/>
      </w:pPr>
      <w:r>
        <w:rPr>
          <w:sz w:val="15"/>
        </w:rPr>
        <w:t/>
      </w:r>
    </w:p>
    <w:p>
      <w:pPr>
        <w:keepNext/>
        <w:keepLines/>
        <w:pBdr>
          <w:left w:val="single" w:sz="18" w:space="6" w:color="E87A1E"/>
          <w:bottom w:val="single" w:sz="4" w:space="3" w:color="E3E7EC"/>
        </w:pBdr>
        <w:spacing w:before="280" w:after="120"/>
        <w:ind w:left="140" w:right="0" w:firstLine="0"/>
      </w:pPr>
      <w:r>
        <w:rPr>
          <w:rFonts w:ascii="Arial" w:hAnsi="Arial" w:cs="Arial"/>
          <w:b/>
          <w:color w:val="122F5C"/>
          <w:sz w:val="24"/>
          <w:szCs w:val="24"/>
        </w:rPr>
        <w:t xml:space="preserve">Annexure IX — List of Exhibits Generated</w:t>
      </w:r>
    </w:p>
    <w:p>
      <w:pPr>
        <w:spacing w:before="0" w:after="130" w:line="264" w:lineRule="auto"/>
        <w:jc w:val="both"/>
      </w:pPr>
      <w:r>
        <w:rPr>
          <w:rFonts w:ascii="Times New Roman" w:hAnsi="Times New Roman" w:cs="Times New Roman"/>
          <w:color w:val="1A1A1A"/>
          <w:sz w:val="21"/>
          <w:szCs w:val="21"/>
        </w:rPr>
        <w:t xml:space="preserve">Twenty exhibits were prepared from the organisation's records during the internship. Each is listed in the List of Figures in the front matter, together with the page on which it appears. The underlying computations are held in the working papers and were reviewed by the company mentor before inclusion.</w:t>
      </w:r>
    </w:p>
    <w:p>
      <w:pPr>
        <w:spacing w:before="0" w:after="0"/>
      </w:pPr>
      <w:r>
        <w:rPr>
          <w:sz w:val="11"/>
        </w:rPr>
        <w:t/>
      </w:r>
    </w:p>
    <w:tbl>
      <w:tblPr>
        <w:tblW w:w="9618" w:type="dxa"/>
        <w:tblBorders>
          <w:top w:val="single" w:sz="4" w:space="0" w:color="EEF4FB"/>
          <w:left w:val="single" w:sz="24" w:space="0" w:color="1B4B8A"/>
          <w:bottom w:val="single" w:sz="4" w:space="0" w:color="EEF4FB"/>
          <w:right w:val="single" w:sz="4" w:space="0" w:color="EEF4FB"/>
        </w:tblBorders>
        <w:tblCellMar>
          <w:top w:w="120" w:type="dxa"/>
          <w:left w:w="180" w:type="dxa"/>
          <w:bottom w:w="120" w:type="dxa"/>
          <w:right w:w="160" w:type="dxa"/>
        </w:tblCellMar>
      </w:tblPr>
      <w:tblGrid>
        <w:gridCol w:w="9618"/>
      </w:tblGrid>
      <w:tr>
        <w:tc>
          <w:tcPr>
            <w:tcW w:w="9618" w:type="dxa"/>
            <w:shd w:val="clear" w:color="auto" w:fill="EEF4FB"/>
          </w:tcPr>
          <w:p>
            <w:pPr>
              <w:spacing w:before="0" w:after="60"/>
            </w:pPr>
            <w:r>
              <w:rPr>
                <w:rFonts w:ascii="Arial" w:hAnsi="Arial" w:cs="Arial"/>
                <w:b/>
                <w:color w:val="1B4B8A"/>
                <w:sz w:val="20"/>
                <w:szCs w:val="20"/>
              </w:rPr>
              <w:t xml:space="preserve">Declaration Regarding the Annexures</w:t>
            </w:r>
          </w:p>
          <w:p>
            <w:pPr>
              <w:spacing w:before="0" w:after="0" w:line="250" w:lineRule="auto"/>
              <w:jc w:val="both"/>
            </w:pPr>
            <w:r>
              <w:rPr>
                <w:rFonts w:ascii="Times New Roman" w:hAnsi="Times New Roman" w:cs="Times New Roman"/>
                <w:color w:val="1A1A1A"/>
                <w:sz w:val="19"/>
                <w:szCs w:val="19"/>
              </w:rPr>
              <w:t xml:space="preserve">All statements reproduced in these annexures have been prepared by the candidate from records made available by Infinitya1 Career Counselling Private Limited for the limited purpose of this academic study. They are indicative management figures and do not constitute audited statutory accounts. No confidential client, candidate or mentor-specific information has been reproduced.</w:t>
            </w:r>
          </w:p>
        </w:tc>
      </w:tr>
    </w:tbl>
    <w:p>
      <w:pPr>
        <w:spacing w:before="0" w:after="0"/>
      </w:pPr>
      <w:r>
        <w:rPr>
          <w:sz w:val="12"/>
        </w:rPr>
        <w:t/>
      </w:r>
    </w:p>
    <w:p>
      <w:pPr>
        <w:spacing w:before="0" w:after="0"/>
      </w:pPr>
      <w:r>
        <w:rPr>
          <w:sz w:val="26"/>
        </w:rPr>
        <w:t/>
      </w:r>
    </w:p>
    <w:p>
      <w:pPr>
        <w:spacing w:before="0" w:after="0"/>
      </w:pPr>
      <w:r>
        <w:rPr>
          <w:sz w:val="32"/>
        </w:rPr>
        <w:t/>
      </w:r>
    </w:p>
    <w:tbl>
      <w:tblPr>
        <w:tblW w:w="9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00" w:type="dxa"/>
          <w:right w:w="200" w:type="dxa"/>
        </w:tblCellMar>
      </w:tblPr>
      <w:tblGrid>
        <w:gridCol w:w="4809"/>
        <w:gridCol w:w="4809"/>
      </w:tblGrid>
      <w:tr>
        <w:tc>
          <w:tcPr>
            <w:tcW w:w="4809" w:type="dxa"/>
          </w:tcPr>
          <w:p>
            <w:pPr>
              <w:pBdr>
                <w:bottom w:val="single" w:sz="6" w:space="2" w:color="444A55"/>
              </w:pBdr>
              <w:spacing w:before="0" w:after="0"/>
            </w:pPr>
          </w:p>
          <w:p>
            <w:pPr>
              <w:spacing w:before="0" w:after="40"/>
              <w:jc w:val="center"/>
            </w:pPr>
            <w:r>
              <w:rPr>
                <w:rFonts w:ascii="Times New Roman" w:hAnsi="Times New Roman" w:cs="Times New Roman"/>
                <w:color w:val="444A55"/>
                <w:sz w:val="17"/>
                <w:szCs w:val="17"/>
              </w:rPr>
              <w:t xml:space="preserve">Ganga Kumari Singh</w:t>
            </w:r>
          </w:p>
        </w:tc>
        <w:tc>
          <w:tcPr>
            <w:tcW w:w="4809" w:type="dxa"/>
          </w:tcPr>
          <w:p>
            <w:pPr>
              <w:pBdr>
                <w:bottom w:val="single" w:sz="6" w:space="2" w:color="444A55"/>
              </w:pBdr>
              <w:spacing w:before="0" w:after="0"/>
            </w:pPr>
          </w:p>
          <w:p>
            <w:pPr>
              <w:spacing w:before="0" w:after="40"/>
              <w:jc w:val="center"/>
            </w:pPr>
            <w:r>
              <w:rPr>
                <w:rFonts w:ascii="Times New Roman" w:hAnsi="Times New Roman" w:cs="Times New Roman"/>
                <w:color w:val="444A55"/>
                <w:sz w:val="17"/>
                <w:szCs w:val="17"/>
              </w:rPr>
              <w:t xml:space="preserve">Roll No. 24269010026   |   Reg. No. 1053595/20</w:t>
            </w:r>
          </w:p>
        </w:tc>
      </w:tr>
    </w:tbl>
    <w:p>
      <w:pPr>
        <w:spacing w:before="0" w:after="0"/>
      </w:pPr>
      <w:r>
        <w:rPr>
          <w:sz w:val="20"/>
        </w:rPr>
        <w:t/>
      </w:r>
    </w:p>
    <w:sectPr>
      <w:headerReference r:id="rId4"/>
      <w:footerReference r:id="rId5"/>
      <w:pgSz w:w="11906" w:h="16838"/>
      <w:pgMar w:top="1280" w:right="1041" w:bottom="1240" w:left="1247" w:header="620" w:footer="600" w:gutter="0"/>
      <w:cols w:space="708"/>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p>
    <w:pPr>
      <w:pBdr>
        <w:top w:val="single" w:sz="4" w:space="4" w:color="E3E7EC"/>
      </w:pBdr>
      <w:tabs>
        <w:tab w:val="center" w:pos="4809"/>
        <w:tab w:val="right" w:pos="9618"/>
      </w:tabs>
      <w:spacing w:before="0" w:after="0"/>
    </w:pPr>
    <w:r>
      <w:rPr>
        <w:rFonts w:ascii="Times New Roman" w:hAnsi="Times New Roman" w:cs="Times New Roman"/>
        <w:i/>
        <w:color w:val="8A919C"/>
        <w:sz w:val="15"/>
        <w:szCs w:val="15"/>
      </w:rPr>
      <w:t xml:space="preserve">Ganga Kumari Singh  |  Roll No. 24269010026</w:t>
    </w:r>
    <w:r>
      <w:tab/>
    </w:r>
    <w:r>
      <w:rPr>
        <w:rFonts w:ascii="Arial" w:hAnsi="Arial"/>
        <w:b/>
        <w:color w:val="122F5C"/>
        <w:sz w:val="16"/>
      </w:rPr>
      <w:fldChar w:fldCharType="begin"/>
    </w:r>
    <w:r>
      <w:instrText xml:space="preserve"> PAGE </w:instrText>
    </w:r>
    <w:r>
      <w:fldChar w:fldCharType="end"/>
    </w:r>
    <w:r>
      <w:tab/>
    </w:r>
    <w:r>
      <w:rPr>
        <w:rFonts w:ascii="Times New Roman" w:hAnsi="Times New Roman" w:cs="Times New Roman"/>
        <w:i/>
        <w:color w:val="8A919C"/>
        <w:sz w:val="15"/>
        <w:szCs w:val="15"/>
      </w:rPr>
      <w:t xml:space="preserve">Magadh University, Bodh Gaya</w:t>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p>
    <w:pPr>
      <w:pBdr>
        <w:bottom w:val="single" w:sz="8" w:space="2" w:color="E87A1E"/>
      </w:pBdr>
      <w:tabs>
        <w:tab w:val="right" w:pos="9618"/>
      </w:tabs>
      <w:spacing w:before="0" w:after="0"/>
    </w:pPr>
    <w:r>
      <w:rPr>
        <w:rFonts w:ascii="Arial" w:hAnsi="Arial" w:cs="Arial"/>
        <w:b/>
        <w:color w:val="122F5C"/>
        <w:spacing w:val="24"/>
        <w:sz w:val="13"/>
        <w:szCs w:val="13"/>
      </w:rPr>
      <w:t xml:space="preserve">SUMMER INTERNSHIP PROJECT REPORT</w:t>
    </w:r>
    <w:r>
      <w:tab/>
    </w:r>
    <w:r>
      <w:rPr>
        <w:rFonts w:ascii="Arial" w:hAnsi="Arial" w:cs="Arial"/>
        <w:color w:val="8A919C"/>
        <w:spacing w:val="20"/>
        <w:sz w:val="13"/>
        <w:szCs w:val="13"/>
      </w:rPr>
      <w:t xml:space="preserve">Infinity Interns, Patna</w: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abstractNum w:abstractNumId="1">
    <w:multiLevelType w:val="singleLevel"/>
    <w:lvl w:ilvl="0">
      <w:start w:val="1"/>
      <w:numFmt w:val="bullet"/>
      <w:lvlText w:val="•"/>
      <w:lvlJc w:val="left"/>
      <w:pPr>
        <w:ind w:left="360" w:hanging="220"/>
      </w:pPr>
      <w:rPr>
        <w:rFonts w:ascii="Arial" w:hAnsi="Arial"/>
        <w:color w:val="E87A1E"/>
      </w:rPr>
    </w:lvl>
  </w:abstractNum>
  <w:num w:numId="1">
    <w:abstractNumId w:val="1"/>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zoom w:percent="100"/>
  <w:defaultTabStop w:val="720"/>
  <w:characterSpacingControl w:val="doNotCompress"/>
  <w:updateFields w:val="true"/>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docDefaults>
    <w:rPrDefault>
      <w:rPr>
        <w:rFonts w:ascii="Times New Roman" w:hAnsi="Times New Roman" w:cs="Times New Roman"/>
        <w:sz w:val="21"/>
        <w:szCs w:val="21"/>
        <w:lang w:val="en-IN"/>
      </w:rPr>
    </w:rPrDefault>
    <w:pPrDefault>
      <w:pPr>
        <w:spacing w:after="130" w:line="264" w:lineRule="auto"/>
      </w:pPr>
    </w:pPrDefault>
  </w:docDefaults>
  <w:style w:type="paragraph" w:default="1" w:styleId="Normal">
    <w:name w:val="Normal"/>
    <w:qFormat/>
  </w:style>
  <w:style w:type="paragraph" w:styleId="ListBullet">
    <w:name w:val="List Bullet"/>
    <w:basedOn w:val="Normal"/>
    <w:pPr>
      <w:numPr>
        <w:numId w:val="1"/>
      </w:numPr>
    </w:pPr>
  </w:style>
  <w:style w:type="paragraph" w:styleId="Heading1">
    <w:name w:val="heading 1"/>
    <w:basedOn w:val="Normal"/>
    <w:next w:val="Normal"/>
    <w:qFormat/>
    <w:pPr>
      <w:outlineLvl w:val="0"/>
      <w:keepNext/>
      <w:spacing w:before="280" w:after="120"/>
    </w:pPr>
    <w:rPr>
      <w:rFonts w:ascii="Arial" w:hAnsi="Arial"/>
      <w:b/>
      <w:color w:val="122F5C"/>
      <w:sz w:val="30"/>
    </w:rPr>
  </w:style>
  <w:style w:type="paragraph" w:styleId="Heading2">
    <w:name w:val="heading 2"/>
    <w:basedOn w:val="Normal"/>
    <w:next w:val="Normal"/>
    <w:qFormat/>
    <w:pPr>
      <w:outlineLvl w:val="1"/>
      <w:keepNext/>
      <w:spacing w:before="240" w:after="100"/>
    </w:pPr>
    <w:rPr>
      <w:rFonts w:ascii="Arial" w:hAnsi="Arial"/>
      <w:b/>
      <w:color w:val="122F5C"/>
      <w:sz w:val="24"/>
    </w:rPr>
  </w:style>
  <w:style w:type="paragraph" w:styleId="TOC1">
    <w:name w:val="toc 1"/>
    <w:basedOn w:val="Normal"/>
  </w:style>
  <w:style w:type="paragraph" w:styleId="TOC2">
    <w:name w:val="toc 2"/>
    <w:basedOn w:val="Normal"/>
    <w:pPr>
      <w:ind w:left="280"/>
    </w:pPr>
  </w:style>
  <w:style w:type="character" w:styleId="Hyperlink">
    <w:name w:val="Hyperlink"/>
    <w:rPr>
      <w:color w:val="1B4B8A"/>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header" Target="header1.xml"/><Relationship Id="rId5" Type="http://schemas.openxmlformats.org/officeDocument/2006/relationships/footer" Target="footer1.xml"/><Relationship Id="rId100" Type="http://schemas.openxmlformats.org/officeDocument/2006/relationships/image" Target="media/logo_mark.png"/><Relationship Id="rId101" Type="http://schemas.openxmlformats.org/officeDocument/2006/relationships/image" Target="media/logo_lockup.png"/><Relationship Id="rId102" Type="http://schemas.openxmlformats.org/officeDocument/2006/relationships/image" Target="media/fig03_revenue_mix.png"/><Relationship Id="rId103" Type="http://schemas.openxmlformats.org/officeDocument/2006/relationships/image" Target="media/fig01_revenue_growth.png"/><Relationship Id="rId104" Type="http://schemas.openxmlformats.org/officeDocument/2006/relationships/image" Target="media/fig02_income_expense.png"/><Relationship Id="rId105" Type="http://schemas.openxmlformats.org/officeDocument/2006/relationships/image" Target="media/fig06_seasonality.png"/><Relationship Id="rId106" Type="http://schemas.openxmlformats.org/officeDocument/2006/relationships/image" Target="media/fig04_cost_structure.png"/><Relationship Id="rId107" Type="http://schemas.openxmlformats.org/officeDocument/2006/relationships/image" Target="media/fig05_expense_trend.png"/><Relationship Id="rId108" Type="http://schemas.openxmlformats.org/officeDocument/2006/relationships/image" Target="media/fig10_margins.png"/><Relationship Id="rId109" Type="http://schemas.openxmlformats.org/officeDocument/2006/relationships/image" Target="media/fig14_cycle.png"/><Relationship Id="rId110" Type="http://schemas.openxmlformats.org/officeDocument/2006/relationships/image" Target="media/fig17_cash_bridge.png"/><Relationship Id="rId111" Type="http://schemas.openxmlformats.org/officeDocument/2006/relationships/image" Target="media/fig20_funding.png"/><Relationship Id="rId112" Type="http://schemas.openxmlformats.org/officeDocument/2006/relationships/image" Target="media/fig07_budget_variance.png"/><Relationship Id="rId113" Type="http://schemas.openxmlformats.org/officeDocument/2006/relationships/image" Target="media/fig08_budget_amounts.png"/><Relationship Id="rId114" Type="http://schemas.openxmlformats.org/officeDocument/2006/relationships/image" Target="media/fig16_cost_behaviour.png"/><Relationship Id="rId115" Type="http://schemas.openxmlformats.org/officeDocument/2006/relationships/image" Target="media/fig15_breakeven.png"/><Relationship Id="rId116" Type="http://schemas.openxmlformats.org/officeDocument/2006/relationships/image" Target="media/fig19_scorecard.png"/><Relationship Id="rId117" Type="http://schemas.openxmlformats.org/officeDocument/2006/relationships/image" Target="media/fig09_liquidity.png"/><Relationship Id="rId118" Type="http://schemas.openxmlformats.org/officeDocument/2006/relationships/image" Target="media/fig11_returns.png"/><Relationship Id="rId119" Type="http://schemas.openxmlformats.org/officeDocument/2006/relationships/image" Target="media/fig12_solvency.png"/><Relationship Id="rId120" Type="http://schemas.openxmlformats.org/officeDocument/2006/relationships/image" Target="media/fig13_turnover.png"/><Relationship Id="rId121" Type="http://schemas.openxmlformats.org/officeDocument/2006/relationships/image" Target="media/fig18_dupont.png"/></Relationships>
</file>

<file path=docProps/app.xml><?xml version="1.0" encoding="utf-8"?>
<Properties xmlns="http://schemas.openxmlformats.org/officeDocument/2006/extended-properties" xmlns:vt="http://schemas.openxmlformats.org/officeDocument/2006/docPropsVTypes">
  <Application>Infinity Interns Report Engine</Application>
  <Company>Infinitya1 Career Counselling Private Limited</Company>
</Properties>
</file>

<file path=docProps/core.xml><?xml version="1.0" encoding="utf-8"?>
<cp:coreProperties xmlns:cp="http://schemas.openxmlformats.org/package/2006/metadata/core-properties" xmlns:dc="http://purl.org/dc/elements/1.1/" xmlns:dcterms="http://purl.org/dc/terms/" xmlns:xsi="http://www.w3.org/2001/XMLSchema-instance">
  <dc:title>Summer Internship Project Report — A Study on Financial Management Practices, Budgetary Control and Financial Performance Analysis</dc:title>
  <dc:creator>Ganga Kumari Singh</dc:creator>
  <dc:subject>M.B.A., Financial Management | Magadh University, Bodh Gaya</dc:subject>
  <cp:lastModifiedBy>Ganga Kumari Singh</cp:lastModifiedBy>
</cp:coreProperties>
</file>