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3C4" w:rsidRPr="008E4439" w:rsidRDefault="00E73848" w:rsidP="00E73848">
      <w:pPr>
        <w:spacing w:after="0" w:line="240" w:lineRule="auto"/>
        <w:rPr>
          <w:b/>
          <w:color w:val="00B0F0"/>
        </w:rPr>
      </w:pPr>
      <w:r w:rsidRPr="008E4439">
        <w:rPr>
          <w:b/>
          <w:color w:val="00B0F0"/>
        </w:rPr>
        <w:t>DHIS2 module</w:t>
      </w:r>
    </w:p>
    <w:p w:rsidR="00E73848" w:rsidRDefault="00E73848" w:rsidP="00E73848">
      <w:pPr>
        <w:spacing w:after="0" w:line="240" w:lineRule="auto"/>
      </w:pPr>
    </w:p>
    <w:p w:rsidR="00E73848" w:rsidRDefault="00E73848" w:rsidP="00E73848">
      <w:pPr>
        <w:spacing w:after="0" w:line="240" w:lineRule="auto"/>
      </w:pPr>
      <w:r>
        <w:t xml:space="preserve">The module </w:t>
      </w:r>
      <w:r w:rsidR="00C702D4">
        <w:t xml:space="preserve">(first phase) </w:t>
      </w:r>
      <w:r>
        <w:t>w</w:t>
      </w:r>
      <w:r w:rsidR="00A82CB4">
        <w:t>ould</w:t>
      </w:r>
      <w:r>
        <w:t xml:space="preserve"> have the following functions: </w:t>
      </w:r>
    </w:p>
    <w:p w:rsidR="00E73848" w:rsidRDefault="00E73848" w:rsidP="00E73848">
      <w:pPr>
        <w:spacing w:after="0" w:line="240" w:lineRule="auto"/>
      </w:pPr>
    </w:p>
    <w:p w:rsidR="00E73848" w:rsidRDefault="00E73848" w:rsidP="003F0BED">
      <w:pPr>
        <w:pStyle w:val="ListParagraph"/>
        <w:numPr>
          <w:ilvl w:val="0"/>
          <w:numId w:val="7"/>
        </w:numPr>
        <w:spacing w:after="0" w:line="240" w:lineRule="auto"/>
      </w:pPr>
      <w:r>
        <w:t>Import from Spectrum the following key variables</w:t>
      </w:r>
      <w:r w:rsidR="003F0BED">
        <w:t xml:space="preserve"> to be used as denominators in the module</w:t>
      </w:r>
      <w:r>
        <w:t xml:space="preserve">: </w:t>
      </w:r>
    </w:p>
    <w:p w:rsidR="00E73848" w:rsidRDefault="003F0BED" w:rsidP="003F0BED">
      <w:pPr>
        <w:spacing w:after="0" w:line="240" w:lineRule="auto"/>
      </w:pPr>
      <w:r>
        <w:br/>
      </w:r>
      <w:r w:rsidR="00E73848">
        <w:t xml:space="preserve">Number of people living with HIV </w:t>
      </w:r>
    </w:p>
    <w:p w:rsidR="00E73848" w:rsidRDefault="00E73848" w:rsidP="003F0BED">
      <w:pPr>
        <w:pStyle w:val="ListParagraph"/>
        <w:numPr>
          <w:ilvl w:val="0"/>
          <w:numId w:val="6"/>
        </w:numPr>
        <w:spacing w:after="0" w:line="240" w:lineRule="auto"/>
      </w:pPr>
      <w:r>
        <w:t xml:space="preserve">Number of HIV+ pregnant women </w:t>
      </w:r>
    </w:p>
    <w:p w:rsidR="00E73848" w:rsidRDefault="00E73848" w:rsidP="003F0BED">
      <w:pPr>
        <w:pStyle w:val="ListParagraph"/>
        <w:numPr>
          <w:ilvl w:val="0"/>
          <w:numId w:val="6"/>
        </w:numPr>
        <w:spacing w:after="0" w:line="240" w:lineRule="auto"/>
      </w:pPr>
      <w:r>
        <w:t>Number of people eligible for ART according to national guidelines</w:t>
      </w:r>
    </w:p>
    <w:p w:rsidR="00E73848" w:rsidRDefault="00E73848" w:rsidP="00E73848">
      <w:pPr>
        <w:spacing w:after="0" w:line="240" w:lineRule="auto"/>
      </w:pPr>
    </w:p>
    <w:p w:rsidR="00E73848" w:rsidRDefault="00E73848" w:rsidP="00E73848">
      <w:pPr>
        <w:spacing w:after="0" w:line="240" w:lineRule="auto"/>
      </w:pPr>
      <w:r>
        <w:t xml:space="preserve">These three indicators will be disaggregated by: </w:t>
      </w:r>
    </w:p>
    <w:p w:rsidR="00E73848" w:rsidRDefault="00E73848" w:rsidP="00E73848">
      <w:pPr>
        <w:spacing w:after="0" w:line="240" w:lineRule="auto"/>
      </w:pPr>
    </w:p>
    <w:p w:rsidR="00E73848" w:rsidRDefault="00E73848" w:rsidP="007665AD">
      <w:pPr>
        <w:pStyle w:val="ListParagraph"/>
        <w:numPr>
          <w:ilvl w:val="0"/>
          <w:numId w:val="2"/>
        </w:numPr>
        <w:spacing w:after="0" w:line="240" w:lineRule="auto"/>
      </w:pPr>
      <w:r>
        <w:t>Sex</w:t>
      </w:r>
    </w:p>
    <w:p w:rsidR="00E73848" w:rsidRDefault="00E73848" w:rsidP="007665AD">
      <w:pPr>
        <w:pStyle w:val="ListParagraph"/>
        <w:numPr>
          <w:ilvl w:val="0"/>
          <w:numId w:val="2"/>
        </w:numPr>
        <w:spacing w:after="0" w:line="240" w:lineRule="auto"/>
      </w:pPr>
      <w:r>
        <w:t>Age (&lt;15, 15-49, 15+)</w:t>
      </w:r>
    </w:p>
    <w:p w:rsidR="00E73848" w:rsidRDefault="00E73848" w:rsidP="007665AD">
      <w:pPr>
        <w:pStyle w:val="ListParagraph"/>
        <w:numPr>
          <w:ilvl w:val="0"/>
          <w:numId w:val="2"/>
        </w:numPr>
        <w:spacing w:after="0" w:line="240" w:lineRule="auto"/>
      </w:pPr>
      <w:r>
        <w:t xml:space="preserve">Location </w:t>
      </w:r>
    </w:p>
    <w:p w:rsidR="00E73848" w:rsidRDefault="00E73848" w:rsidP="007665AD">
      <w:pPr>
        <w:pStyle w:val="ListParagraph"/>
        <w:numPr>
          <w:ilvl w:val="1"/>
          <w:numId w:val="2"/>
        </w:numPr>
        <w:spacing w:after="0" w:line="240" w:lineRule="auto"/>
      </w:pPr>
      <w:r>
        <w:t xml:space="preserve">National: directly from Spectrum </w:t>
      </w:r>
    </w:p>
    <w:p w:rsidR="00E73848" w:rsidRDefault="00E73848" w:rsidP="007665AD">
      <w:pPr>
        <w:pStyle w:val="ListParagraph"/>
        <w:numPr>
          <w:ilvl w:val="1"/>
          <w:numId w:val="2"/>
        </w:numPr>
        <w:spacing w:after="0" w:line="240" w:lineRule="auto"/>
      </w:pPr>
      <w:r>
        <w:t xml:space="preserve">Provincial: directly from Spectrum </w:t>
      </w:r>
    </w:p>
    <w:p w:rsidR="00E73848" w:rsidRDefault="007665AD" w:rsidP="007665AD">
      <w:pPr>
        <w:pStyle w:val="ListParagraph"/>
        <w:numPr>
          <w:ilvl w:val="1"/>
          <w:numId w:val="2"/>
        </w:numPr>
        <w:spacing w:after="0" w:line="240" w:lineRule="auto"/>
      </w:pPr>
      <w:r>
        <w:t xml:space="preserve">Second sub-national level: from Excel spreadsheet (to be further defined) </w:t>
      </w:r>
    </w:p>
    <w:p w:rsidR="003F0BED" w:rsidRDefault="003F0BED" w:rsidP="00E73848">
      <w:pPr>
        <w:spacing w:after="0" w:line="240" w:lineRule="auto"/>
      </w:pPr>
    </w:p>
    <w:p w:rsidR="00363B69" w:rsidRDefault="003F0BED" w:rsidP="00E73848">
      <w:pPr>
        <w:spacing w:after="0" w:line="240" w:lineRule="auto"/>
      </w:pPr>
      <w:r>
        <w:t xml:space="preserve">Variables will be imported for the years 2001-2014. </w:t>
      </w:r>
    </w:p>
    <w:p w:rsidR="003F0BED" w:rsidRDefault="00363B69" w:rsidP="00E73848">
      <w:pPr>
        <w:spacing w:after="0" w:line="240" w:lineRule="auto"/>
      </w:pPr>
      <w:r>
        <w:t xml:space="preserve">Note: </w:t>
      </w:r>
      <w:r w:rsidR="003F0BED">
        <w:t xml:space="preserve">National Spectrum estimates are updated every year, including historical estimates. Users should import all historical values in addition to the updated year when importing data for these variables from Spectrum in future years. </w:t>
      </w:r>
    </w:p>
    <w:p w:rsidR="003F0BED" w:rsidRDefault="003F0BED" w:rsidP="00E73848">
      <w:pPr>
        <w:spacing w:after="0" w:line="240" w:lineRule="auto"/>
      </w:pPr>
    </w:p>
    <w:p w:rsidR="007665AD" w:rsidRDefault="00363B69" w:rsidP="003F0BED">
      <w:pPr>
        <w:pStyle w:val="ListParagraph"/>
        <w:numPr>
          <w:ilvl w:val="0"/>
          <w:numId w:val="7"/>
        </w:numPr>
        <w:spacing w:after="0" w:line="240" w:lineRule="auto"/>
      </w:pPr>
      <w:r>
        <w:t xml:space="preserve">Calculate coverage values for the following key indicators: </w:t>
      </w:r>
    </w:p>
    <w:p w:rsidR="00217128" w:rsidRDefault="00217128" w:rsidP="00363B69">
      <w:pPr>
        <w:spacing w:after="0" w:line="240" w:lineRule="auto"/>
      </w:pPr>
    </w:p>
    <w:tbl>
      <w:tblPr>
        <w:tblStyle w:val="TableGrid"/>
        <w:tblW w:w="0" w:type="auto"/>
        <w:tblLook w:val="04A0" w:firstRow="1" w:lastRow="0" w:firstColumn="1" w:lastColumn="0" w:noHBand="0" w:noVBand="1"/>
      </w:tblPr>
      <w:tblGrid>
        <w:gridCol w:w="3794"/>
        <w:gridCol w:w="2835"/>
        <w:gridCol w:w="2947"/>
      </w:tblGrid>
      <w:tr w:rsidR="00217128" w:rsidTr="00217128">
        <w:tc>
          <w:tcPr>
            <w:tcW w:w="3794" w:type="dxa"/>
            <w:shd w:val="clear" w:color="auto" w:fill="C6D9F1" w:themeFill="text2" w:themeFillTint="33"/>
          </w:tcPr>
          <w:p w:rsidR="00217128" w:rsidRDefault="00217128" w:rsidP="00217128">
            <w:pPr>
              <w:jc w:val="center"/>
            </w:pPr>
            <w:r>
              <w:t>Indicator name</w:t>
            </w:r>
          </w:p>
        </w:tc>
        <w:tc>
          <w:tcPr>
            <w:tcW w:w="2835" w:type="dxa"/>
            <w:shd w:val="clear" w:color="auto" w:fill="C6D9F1" w:themeFill="text2" w:themeFillTint="33"/>
          </w:tcPr>
          <w:p w:rsidR="00217128" w:rsidRDefault="00217128" w:rsidP="00217128">
            <w:pPr>
              <w:jc w:val="center"/>
            </w:pPr>
            <w:r>
              <w:t>Numerator</w:t>
            </w:r>
          </w:p>
        </w:tc>
        <w:tc>
          <w:tcPr>
            <w:tcW w:w="2947" w:type="dxa"/>
            <w:shd w:val="clear" w:color="auto" w:fill="C6D9F1" w:themeFill="text2" w:themeFillTint="33"/>
          </w:tcPr>
          <w:p w:rsidR="00217128" w:rsidRDefault="00217128" w:rsidP="00217128">
            <w:pPr>
              <w:jc w:val="center"/>
            </w:pPr>
            <w:r>
              <w:t>Denominator</w:t>
            </w:r>
          </w:p>
        </w:tc>
      </w:tr>
      <w:tr w:rsidR="00217128" w:rsidTr="00217128">
        <w:tc>
          <w:tcPr>
            <w:tcW w:w="3794" w:type="dxa"/>
          </w:tcPr>
          <w:p w:rsidR="00217128" w:rsidRDefault="00217128" w:rsidP="00363B69">
            <w:r>
              <w:t>Percentage of all people living with HIV who are receiving ART</w:t>
            </w:r>
          </w:p>
        </w:tc>
        <w:tc>
          <w:tcPr>
            <w:tcW w:w="2835" w:type="dxa"/>
          </w:tcPr>
          <w:p w:rsidR="00217128" w:rsidRDefault="00217128" w:rsidP="00363B69">
            <w:r>
              <w:t>Number of people currently on ART</w:t>
            </w:r>
          </w:p>
        </w:tc>
        <w:tc>
          <w:tcPr>
            <w:tcW w:w="2947" w:type="dxa"/>
          </w:tcPr>
          <w:p w:rsidR="00217128" w:rsidRDefault="00217128" w:rsidP="00363B69">
            <w:r>
              <w:t>Estimated number of people living with HIV</w:t>
            </w:r>
          </w:p>
        </w:tc>
      </w:tr>
      <w:tr w:rsidR="00217128" w:rsidTr="00217128">
        <w:tc>
          <w:tcPr>
            <w:tcW w:w="3794" w:type="dxa"/>
          </w:tcPr>
          <w:p w:rsidR="00217128" w:rsidRDefault="00217128" w:rsidP="00217128">
            <w:pPr>
              <w:ind w:left="284"/>
            </w:pPr>
            <w:r>
              <w:t xml:space="preserve">Percentage of people eligible for HIV treatment according to national criteria that are receiving ART </w:t>
            </w:r>
          </w:p>
        </w:tc>
        <w:tc>
          <w:tcPr>
            <w:tcW w:w="2835" w:type="dxa"/>
          </w:tcPr>
          <w:p w:rsidR="00217128" w:rsidRDefault="00217128" w:rsidP="00363B69">
            <w:r>
              <w:t xml:space="preserve">Number of people currently on ART </w:t>
            </w:r>
          </w:p>
        </w:tc>
        <w:tc>
          <w:tcPr>
            <w:tcW w:w="2947" w:type="dxa"/>
          </w:tcPr>
          <w:p w:rsidR="00217128" w:rsidRDefault="00217128" w:rsidP="00217128">
            <w:r>
              <w:t>Estimated number of people eligible for ART according to national guidelines</w:t>
            </w:r>
          </w:p>
        </w:tc>
      </w:tr>
      <w:tr w:rsidR="00217128" w:rsidTr="00217128">
        <w:tc>
          <w:tcPr>
            <w:tcW w:w="3794" w:type="dxa"/>
          </w:tcPr>
          <w:p w:rsidR="00217128" w:rsidRDefault="00217128" w:rsidP="00363B69">
            <w:r>
              <w:t xml:space="preserve">Percentage of HIV+ pregnant women who receive </w:t>
            </w:r>
            <w:proofErr w:type="spellStart"/>
            <w:r>
              <w:t>antiretrovirals</w:t>
            </w:r>
            <w:proofErr w:type="spellEnd"/>
            <w:r>
              <w:t xml:space="preserve"> to reduce the risk of MTCT </w:t>
            </w:r>
          </w:p>
        </w:tc>
        <w:tc>
          <w:tcPr>
            <w:tcW w:w="2835" w:type="dxa"/>
          </w:tcPr>
          <w:p w:rsidR="00217128" w:rsidRDefault="00217128" w:rsidP="00363B69">
            <w:r>
              <w:t xml:space="preserve">Number of women receiving </w:t>
            </w:r>
            <w:proofErr w:type="spellStart"/>
            <w:r>
              <w:t>antiretrovirals</w:t>
            </w:r>
            <w:proofErr w:type="spellEnd"/>
            <w:r>
              <w:t xml:space="preserve"> to reduce the risk of MTCT </w:t>
            </w:r>
          </w:p>
        </w:tc>
        <w:tc>
          <w:tcPr>
            <w:tcW w:w="2947" w:type="dxa"/>
          </w:tcPr>
          <w:p w:rsidR="00217128" w:rsidRDefault="00217128" w:rsidP="00363B69">
            <w:r>
              <w:t>Estimated number of HIV+ pregnant women</w:t>
            </w:r>
          </w:p>
        </w:tc>
      </w:tr>
      <w:tr w:rsidR="00217128" w:rsidTr="00217128">
        <w:tc>
          <w:tcPr>
            <w:tcW w:w="3794" w:type="dxa"/>
          </w:tcPr>
          <w:p w:rsidR="00217128" w:rsidRDefault="00217128" w:rsidP="00363B69">
            <w:r>
              <w:t>Percentage of HIV-exposed infants who received an HIV test</w:t>
            </w:r>
          </w:p>
        </w:tc>
        <w:tc>
          <w:tcPr>
            <w:tcW w:w="2835" w:type="dxa"/>
          </w:tcPr>
          <w:p w:rsidR="00217128" w:rsidRDefault="00217128" w:rsidP="00363B69">
            <w:r>
              <w:t xml:space="preserve">Total HIV-exposed infants testing by 12 months </w:t>
            </w:r>
          </w:p>
        </w:tc>
        <w:tc>
          <w:tcPr>
            <w:tcW w:w="2947" w:type="dxa"/>
          </w:tcPr>
          <w:p w:rsidR="00217128" w:rsidRDefault="00217128" w:rsidP="00363B69">
            <w:r>
              <w:t>Estimated number of HIV+ pregnant women</w:t>
            </w:r>
          </w:p>
        </w:tc>
      </w:tr>
      <w:tr w:rsidR="00217128" w:rsidTr="00217128">
        <w:tc>
          <w:tcPr>
            <w:tcW w:w="3794" w:type="dxa"/>
          </w:tcPr>
          <w:p w:rsidR="00217128" w:rsidRDefault="00217128" w:rsidP="000874D0">
            <w:r>
              <w:t xml:space="preserve">Percentage of people living with HIV who are enrolled in HIV care </w:t>
            </w:r>
          </w:p>
        </w:tc>
        <w:tc>
          <w:tcPr>
            <w:tcW w:w="2835" w:type="dxa"/>
          </w:tcPr>
          <w:p w:rsidR="00217128" w:rsidRDefault="00217128" w:rsidP="000874D0">
            <w:r>
              <w:t xml:space="preserve">Number of people enrolled in care </w:t>
            </w:r>
          </w:p>
        </w:tc>
        <w:tc>
          <w:tcPr>
            <w:tcW w:w="2947" w:type="dxa"/>
          </w:tcPr>
          <w:p w:rsidR="00217128" w:rsidRDefault="00217128" w:rsidP="000874D0">
            <w:r>
              <w:t xml:space="preserve">Estimated number of people living with HIV </w:t>
            </w:r>
          </w:p>
        </w:tc>
      </w:tr>
    </w:tbl>
    <w:p w:rsidR="00363B69" w:rsidRDefault="00363B69" w:rsidP="00363B69">
      <w:pPr>
        <w:spacing w:after="0" w:line="240" w:lineRule="auto"/>
      </w:pPr>
    </w:p>
    <w:p w:rsidR="00363B69" w:rsidRDefault="00363B69" w:rsidP="00363B69">
      <w:pPr>
        <w:spacing w:after="0" w:line="240" w:lineRule="auto"/>
      </w:pPr>
      <w:r>
        <w:t xml:space="preserve">Coverage values should be calculated for the national total, as well as by </w:t>
      </w:r>
      <w:proofErr w:type="spellStart"/>
      <w:r>
        <w:t>disaggregations</w:t>
      </w:r>
      <w:proofErr w:type="spellEnd"/>
      <w:r>
        <w:t xml:space="preserve"> listed above. </w:t>
      </w:r>
    </w:p>
    <w:p w:rsidR="00363B69" w:rsidRDefault="00363B69" w:rsidP="00363B69">
      <w:pPr>
        <w:spacing w:after="0" w:line="240" w:lineRule="auto"/>
      </w:pPr>
    </w:p>
    <w:p w:rsidR="00363B69" w:rsidRDefault="00363B69" w:rsidP="00363B69">
      <w:pPr>
        <w:spacing w:after="0" w:line="240" w:lineRule="auto"/>
      </w:pPr>
      <w:r>
        <w:t>Coverage values should use as a denominator the denominator value for the previous year.</w:t>
      </w:r>
      <w:r w:rsidR="000432C5">
        <w:t xml:space="preserve"> Coverage values would be shown annually and monthly. </w:t>
      </w:r>
    </w:p>
    <w:p w:rsidR="00363B69" w:rsidRDefault="00363B69" w:rsidP="00363B69">
      <w:pPr>
        <w:spacing w:after="0" w:line="240" w:lineRule="auto"/>
      </w:pPr>
    </w:p>
    <w:p w:rsidR="00363B69" w:rsidRDefault="00363B69" w:rsidP="00363B69">
      <w:pPr>
        <w:spacing w:after="0" w:line="240" w:lineRule="auto"/>
      </w:pPr>
      <w:r>
        <w:lastRenderedPageBreak/>
        <w:t xml:space="preserve">Users should be able to pull into the module the numerator values from the national DHIS2 database. A “prompt” or note should be included in the module to indicate </w:t>
      </w:r>
      <w:r w:rsidR="007C0E72">
        <w:t>the recommended</w:t>
      </w:r>
      <w:r>
        <w:t xml:space="preserve"> numerator for the indicator. </w:t>
      </w:r>
    </w:p>
    <w:p w:rsidR="00363B69" w:rsidRDefault="00363B69" w:rsidP="00363B69">
      <w:pPr>
        <w:spacing w:after="0" w:line="240" w:lineRule="auto"/>
      </w:pPr>
    </w:p>
    <w:p w:rsidR="0016630E" w:rsidRDefault="0016630E" w:rsidP="0016630E">
      <w:pPr>
        <w:pStyle w:val="ListParagraph"/>
        <w:numPr>
          <w:ilvl w:val="0"/>
          <w:numId w:val="7"/>
        </w:numPr>
        <w:spacing w:after="0" w:line="240" w:lineRule="auto"/>
      </w:pPr>
      <w:r>
        <w:t xml:space="preserve">Visualizations of coverage values for key indicators. </w:t>
      </w:r>
    </w:p>
    <w:p w:rsidR="0016630E" w:rsidRDefault="0016630E" w:rsidP="00363B69">
      <w:pPr>
        <w:spacing w:after="0" w:line="240" w:lineRule="auto"/>
      </w:pPr>
    </w:p>
    <w:p w:rsidR="00BA0E59" w:rsidRDefault="00BA0E59" w:rsidP="00363B69">
      <w:pPr>
        <w:spacing w:after="0" w:line="240" w:lineRule="auto"/>
      </w:pPr>
      <w:r>
        <w:t>Piloting in one country (i.e. Zimbabwe</w:t>
      </w:r>
      <w:r w:rsidR="00BB4BD5">
        <w:t xml:space="preserve"> and/or Nigeria</w:t>
      </w:r>
      <w:r>
        <w:t xml:space="preserve">) would be suggested at this stage for “proof of concept”. </w:t>
      </w:r>
    </w:p>
    <w:p w:rsidR="00BA0E59" w:rsidRDefault="00BA0E59" w:rsidP="00363B69">
      <w:pPr>
        <w:spacing w:after="0" w:line="240" w:lineRule="auto"/>
      </w:pPr>
    </w:p>
    <w:p w:rsidR="0016630E" w:rsidRDefault="00046ADA" w:rsidP="00363B69">
      <w:pPr>
        <w:spacing w:after="0" w:line="240" w:lineRule="auto"/>
      </w:pPr>
      <w:r>
        <w:t>In a s</w:t>
      </w:r>
      <w:r w:rsidR="0016630E">
        <w:t>econd phase</w:t>
      </w:r>
      <w:r>
        <w:t xml:space="preserve"> the module would also include</w:t>
      </w:r>
      <w:r w:rsidR="0016630E">
        <w:t xml:space="preserve">: </w:t>
      </w:r>
    </w:p>
    <w:p w:rsidR="00046ADA" w:rsidRDefault="00046ADA" w:rsidP="00363B69">
      <w:pPr>
        <w:spacing w:after="0" w:line="240" w:lineRule="auto"/>
      </w:pPr>
    </w:p>
    <w:p w:rsidR="0016630E" w:rsidRDefault="0016630E" w:rsidP="00046ADA">
      <w:pPr>
        <w:pStyle w:val="ListParagraph"/>
        <w:numPr>
          <w:ilvl w:val="0"/>
          <w:numId w:val="7"/>
        </w:numPr>
        <w:spacing w:after="0" w:line="240" w:lineRule="auto"/>
      </w:pPr>
      <w:r>
        <w:t>Calculating coverage values for additional indicators</w:t>
      </w:r>
      <w:r w:rsidR="00216FAB">
        <w:t xml:space="preserve"> with more complex denominators</w:t>
      </w:r>
      <w:r>
        <w:t xml:space="preserve">, including </w:t>
      </w:r>
      <w:r w:rsidR="00216FAB">
        <w:t>awareness/</w:t>
      </w:r>
      <w:r>
        <w:t>testing and male circumcision</w:t>
      </w:r>
      <w:r w:rsidR="00046ADA">
        <w:t>.</w:t>
      </w:r>
      <w:r>
        <w:t xml:space="preserve"> </w:t>
      </w:r>
      <w:r w:rsidR="00BA0E59">
        <w:t xml:space="preserve">This may draw on other data sources for denominator values, for example </w:t>
      </w:r>
      <w:proofErr w:type="spellStart"/>
      <w:r w:rsidR="00BA0E59">
        <w:t>prevR</w:t>
      </w:r>
      <w:proofErr w:type="spellEnd"/>
      <w:r w:rsidR="00BA0E59">
        <w:t xml:space="preserve"> data in Excel spreadsheets</w:t>
      </w:r>
      <w:r w:rsidR="00BB4BD5">
        <w:t xml:space="preserve">, or denominators calculated from surveys of several years ago adjusted by </w:t>
      </w:r>
      <w:r w:rsidR="00216FAB">
        <w:t xml:space="preserve">annual or monthly </w:t>
      </w:r>
      <w:r w:rsidR="00BB4BD5">
        <w:t>facility-based data</w:t>
      </w:r>
      <w:r w:rsidR="00216FAB">
        <w:t xml:space="preserve"> for the time between the survey and today </w:t>
      </w:r>
      <w:r w:rsidR="00BB4BD5">
        <w:t>(e.g. number of male circumcision procedures, number of new diagnoses)</w:t>
      </w:r>
      <w:r w:rsidR="00BA0E59">
        <w:t>.</w:t>
      </w:r>
    </w:p>
    <w:p w:rsidR="00BB4BD5" w:rsidRDefault="0016630E" w:rsidP="00046ADA">
      <w:pPr>
        <w:pStyle w:val="ListParagraph"/>
        <w:numPr>
          <w:ilvl w:val="0"/>
          <w:numId w:val="7"/>
        </w:numPr>
        <w:spacing w:after="0" w:line="240" w:lineRule="auto"/>
      </w:pPr>
      <w:r>
        <w:t xml:space="preserve">Including a list of </w:t>
      </w:r>
      <w:r w:rsidR="00046ADA">
        <w:t>additional suggested indicators</w:t>
      </w:r>
      <w:r>
        <w:t xml:space="preserve"> </w:t>
      </w:r>
      <w:r w:rsidR="00046ADA">
        <w:t>that would draw only on DHIS2 data.</w:t>
      </w:r>
      <w:r w:rsidR="00046ADA" w:rsidRPr="00046ADA">
        <w:t xml:space="preserve"> </w:t>
      </w:r>
      <w:r w:rsidR="00046ADA">
        <w:t>(</w:t>
      </w:r>
      <w:proofErr w:type="gramStart"/>
      <w:r w:rsidR="00046ADA">
        <w:t>i.e</w:t>
      </w:r>
      <w:proofErr w:type="gramEnd"/>
      <w:r w:rsidR="00046ADA">
        <w:t>. additional indicators that form part of the treatment and care cascade).</w:t>
      </w:r>
      <w:r w:rsidR="00046ADA" w:rsidRPr="00046ADA">
        <w:t xml:space="preserve"> </w:t>
      </w:r>
      <w:r w:rsidR="00046ADA">
        <w:t>Priority indicators would be those included in the new GARPR set and the WHO SI Consolidated Guidelines. “Prompts” could be included for countries to pull into the module the values for corresponding indicators from their national DHIS2 database.</w:t>
      </w:r>
      <w:bookmarkStart w:id="0" w:name="_GoBack"/>
      <w:bookmarkEnd w:id="0"/>
    </w:p>
    <w:p w:rsidR="00046ADA" w:rsidRDefault="00BB4BD5" w:rsidP="00046ADA">
      <w:pPr>
        <w:pStyle w:val="ListParagraph"/>
        <w:numPr>
          <w:ilvl w:val="0"/>
          <w:numId w:val="7"/>
        </w:numPr>
        <w:spacing w:after="0" w:line="240" w:lineRule="auto"/>
      </w:pPr>
      <w:r>
        <w:t>Application in a larger number of countries</w:t>
      </w:r>
      <w:r w:rsidR="00046ADA">
        <w:t xml:space="preserve"> </w:t>
      </w:r>
    </w:p>
    <w:p w:rsidR="00C702D4" w:rsidRDefault="00C702D4" w:rsidP="00C702D4">
      <w:pPr>
        <w:spacing w:after="0" w:line="240" w:lineRule="auto"/>
      </w:pPr>
    </w:p>
    <w:p w:rsidR="0016630E" w:rsidRDefault="0016630E" w:rsidP="00C702D4">
      <w:pPr>
        <w:spacing w:after="0" w:line="240" w:lineRule="auto"/>
      </w:pPr>
      <w:r>
        <w:t xml:space="preserve"> </w:t>
      </w:r>
    </w:p>
    <w:sectPr w:rsidR="0016630E" w:rsidSect="002171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6F45"/>
    <w:multiLevelType w:val="hybridMultilevel"/>
    <w:tmpl w:val="EFBA79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BC0A65"/>
    <w:multiLevelType w:val="hybridMultilevel"/>
    <w:tmpl w:val="CEFAFA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B432DD7"/>
    <w:multiLevelType w:val="hybridMultilevel"/>
    <w:tmpl w:val="B6D6A91E"/>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811059A"/>
    <w:multiLevelType w:val="hybridMultilevel"/>
    <w:tmpl w:val="7CB01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5CB02B9"/>
    <w:multiLevelType w:val="hybridMultilevel"/>
    <w:tmpl w:val="667E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8F7398E"/>
    <w:multiLevelType w:val="hybridMultilevel"/>
    <w:tmpl w:val="88B88A5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92E5BD1"/>
    <w:multiLevelType w:val="hybridMultilevel"/>
    <w:tmpl w:val="3B06A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C55555F"/>
    <w:multiLevelType w:val="hybridMultilevel"/>
    <w:tmpl w:val="CAA6FEA0"/>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2"/>
  </w:num>
  <w:num w:numId="4">
    <w:abstractNumId w:val="7"/>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6D8"/>
    <w:rsid w:val="000432C5"/>
    <w:rsid w:val="00046ADA"/>
    <w:rsid w:val="0016630E"/>
    <w:rsid w:val="00216FAB"/>
    <w:rsid w:val="00217128"/>
    <w:rsid w:val="00363B69"/>
    <w:rsid w:val="003F0BED"/>
    <w:rsid w:val="005A18BC"/>
    <w:rsid w:val="007665AD"/>
    <w:rsid w:val="007C0E72"/>
    <w:rsid w:val="008443C4"/>
    <w:rsid w:val="008E4439"/>
    <w:rsid w:val="00A82CB4"/>
    <w:rsid w:val="00B226D8"/>
    <w:rsid w:val="00B629EB"/>
    <w:rsid w:val="00BA0E59"/>
    <w:rsid w:val="00BB4BD5"/>
    <w:rsid w:val="00C62D5F"/>
    <w:rsid w:val="00C702D4"/>
    <w:rsid w:val="00E142A3"/>
    <w:rsid w:val="00E7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848"/>
    <w:pPr>
      <w:ind w:left="720"/>
      <w:contextualSpacing/>
    </w:pPr>
  </w:style>
  <w:style w:type="table" w:styleId="TableGrid">
    <w:name w:val="Table Grid"/>
    <w:basedOn w:val="TableNormal"/>
    <w:uiPriority w:val="59"/>
    <w:rsid w:val="00217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4BD5"/>
    <w:rPr>
      <w:sz w:val="16"/>
      <w:szCs w:val="16"/>
    </w:rPr>
  </w:style>
  <w:style w:type="paragraph" w:styleId="CommentText">
    <w:name w:val="annotation text"/>
    <w:basedOn w:val="Normal"/>
    <w:link w:val="CommentTextChar"/>
    <w:uiPriority w:val="99"/>
    <w:semiHidden/>
    <w:unhideWhenUsed/>
    <w:rsid w:val="00BB4BD5"/>
    <w:pPr>
      <w:spacing w:line="240" w:lineRule="auto"/>
    </w:pPr>
    <w:rPr>
      <w:sz w:val="20"/>
      <w:szCs w:val="20"/>
    </w:rPr>
  </w:style>
  <w:style w:type="character" w:customStyle="1" w:styleId="CommentTextChar">
    <w:name w:val="Comment Text Char"/>
    <w:basedOn w:val="DefaultParagraphFont"/>
    <w:link w:val="CommentText"/>
    <w:uiPriority w:val="99"/>
    <w:semiHidden/>
    <w:rsid w:val="00BB4BD5"/>
    <w:rPr>
      <w:sz w:val="20"/>
      <w:szCs w:val="20"/>
    </w:rPr>
  </w:style>
  <w:style w:type="paragraph" w:styleId="CommentSubject">
    <w:name w:val="annotation subject"/>
    <w:basedOn w:val="CommentText"/>
    <w:next w:val="CommentText"/>
    <w:link w:val="CommentSubjectChar"/>
    <w:uiPriority w:val="99"/>
    <w:semiHidden/>
    <w:unhideWhenUsed/>
    <w:rsid w:val="00BB4BD5"/>
    <w:rPr>
      <w:b/>
      <w:bCs/>
    </w:rPr>
  </w:style>
  <w:style w:type="character" w:customStyle="1" w:styleId="CommentSubjectChar">
    <w:name w:val="Comment Subject Char"/>
    <w:basedOn w:val="CommentTextChar"/>
    <w:link w:val="CommentSubject"/>
    <w:uiPriority w:val="99"/>
    <w:semiHidden/>
    <w:rsid w:val="00BB4BD5"/>
    <w:rPr>
      <w:b/>
      <w:bCs/>
      <w:sz w:val="20"/>
      <w:szCs w:val="20"/>
    </w:rPr>
  </w:style>
  <w:style w:type="paragraph" w:styleId="BalloonText">
    <w:name w:val="Balloon Text"/>
    <w:basedOn w:val="Normal"/>
    <w:link w:val="BalloonTextChar"/>
    <w:uiPriority w:val="99"/>
    <w:semiHidden/>
    <w:unhideWhenUsed/>
    <w:rsid w:val="00BB4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B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848"/>
    <w:pPr>
      <w:ind w:left="720"/>
      <w:contextualSpacing/>
    </w:pPr>
  </w:style>
  <w:style w:type="table" w:styleId="TableGrid">
    <w:name w:val="Table Grid"/>
    <w:basedOn w:val="TableNormal"/>
    <w:uiPriority w:val="59"/>
    <w:rsid w:val="00217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4BD5"/>
    <w:rPr>
      <w:sz w:val="16"/>
      <w:szCs w:val="16"/>
    </w:rPr>
  </w:style>
  <w:style w:type="paragraph" w:styleId="CommentText">
    <w:name w:val="annotation text"/>
    <w:basedOn w:val="Normal"/>
    <w:link w:val="CommentTextChar"/>
    <w:uiPriority w:val="99"/>
    <w:semiHidden/>
    <w:unhideWhenUsed/>
    <w:rsid w:val="00BB4BD5"/>
    <w:pPr>
      <w:spacing w:line="240" w:lineRule="auto"/>
    </w:pPr>
    <w:rPr>
      <w:sz w:val="20"/>
      <w:szCs w:val="20"/>
    </w:rPr>
  </w:style>
  <w:style w:type="character" w:customStyle="1" w:styleId="CommentTextChar">
    <w:name w:val="Comment Text Char"/>
    <w:basedOn w:val="DefaultParagraphFont"/>
    <w:link w:val="CommentText"/>
    <w:uiPriority w:val="99"/>
    <w:semiHidden/>
    <w:rsid w:val="00BB4BD5"/>
    <w:rPr>
      <w:sz w:val="20"/>
      <w:szCs w:val="20"/>
    </w:rPr>
  </w:style>
  <w:style w:type="paragraph" w:styleId="CommentSubject">
    <w:name w:val="annotation subject"/>
    <w:basedOn w:val="CommentText"/>
    <w:next w:val="CommentText"/>
    <w:link w:val="CommentSubjectChar"/>
    <w:uiPriority w:val="99"/>
    <w:semiHidden/>
    <w:unhideWhenUsed/>
    <w:rsid w:val="00BB4BD5"/>
    <w:rPr>
      <w:b/>
      <w:bCs/>
    </w:rPr>
  </w:style>
  <w:style w:type="character" w:customStyle="1" w:styleId="CommentSubjectChar">
    <w:name w:val="Comment Subject Char"/>
    <w:basedOn w:val="CommentTextChar"/>
    <w:link w:val="CommentSubject"/>
    <w:uiPriority w:val="99"/>
    <w:semiHidden/>
    <w:rsid w:val="00BB4BD5"/>
    <w:rPr>
      <w:b/>
      <w:bCs/>
      <w:sz w:val="20"/>
      <w:szCs w:val="20"/>
    </w:rPr>
  </w:style>
  <w:style w:type="paragraph" w:styleId="BalloonText">
    <w:name w:val="Balloon Text"/>
    <w:basedOn w:val="Normal"/>
    <w:link w:val="BalloonTextChar"/>
    <w:uiPriority w:val="99"/>
    <w:semiHidden/>
    <w:unhideWhenUsed/>
    <w:rsid w:val="00BB4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B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UNAIDS</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Bendaud</dc:creator>
  <cp:lastModifiedBy>Victoria Bendaud</cp:lastModifiedBy>
  <cp:revision>2</cp:revision>
  <dcterms:created xsi:type="dcterms:W3CDTF">2015-05-01T09:45:00Z</dcterms:created>
  <dcterms:modified xsi:type="dcterms:W3CDTF">2015-05-01T09:45:00Z</dcterms:modified>
</cp:coreProperties>
</file>