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1"/>
        </w:pBdr>
        <w:spacing w:before="0" w:after="60"/>
        <w:jc w:val="center"/>
      </w:pPr>
      <w:r>
        <w:rPr>
          <w:rFonts w:ascii="Arial" w:cs="Arial" w:eastAsia="Arial" w:hAnsi="Arial"/>
          <w:caps/>
          <w:color w:val="666666"/>
          <w:sz w:val="17"/>
          <w:szCs w:val="17"/>
        </w:rPr>
        <w:t xml:space="preserve">IEEE TRANSACTIONS ON INFORMATION FORENSICS AND SECURITY  —  </w:t>
      </w:r>
      <w:r>
        <w:rPr>
          <w:rFonts w:ascii="Arial" w:cs="Arial" w:eastAsia="Arial" w:hAnsi="Arial"/>
          <w:b/>
          <w:bCs/>
          <w:color w:val="8B1A1A"/>
          <w:sz w:val="17"/>
          <w:szCs w:val="17"/>
        </w:rPr>
        <w:t xml:space="preserve">ROUND 3 REVIEW REPORT</w:t>
      </w:r>
    </w:p>
    <w:p>
      <w:pPr>
        <w:spacing w:before="240" w:after="100"/>
      </w:pPr>
    </w:p>
    <w:p>
      <w:pPr>
        <w:spacing w:before="0" w:after="80"/>
        <w:jc w:val="center"/>
      </w:pPr>
      <w:r>
        <w:rPr>
          <w:rFonts w:ascii="Arial" w:cs="Arial" w:eastAsia="Arial" w:hAnsi="Arial"/>
          <w:b/>
          <w:bCs/>
          <w:color w:val="1F3864"/>
          <w:sz w:val="40"/>
          <w:szCs w:val="40"/>
        </w:rPr>
        <w:t xml:space="preserve">Third-Round Peer Review: MITRE-CORE</w:t>
      </w:r>
    </w:p>
    <w:p>
      <w:pPr>
        <w:spacing w:before="0" w:after="60"/>
        <w:jc w:val="center"/>
      </w:pPr>
      <w:r>
        <w:rPr>
          <w:rFonts w:ascii="Arial" w:cs="Arial" w:eastAsia="Arial" w:hAnsi="Arial"/>
          <w:i/>
          <w:iCs/>
          <w:color w:val="444444"/>
          <w:sz w:val="23"/>
          <w:szCs w:val="23"/>
        </w:rPr>
        <w:t xml:space="preserve">Post-Bug-Fix Result Audit &amp; Internal Consistency Analysis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r>
              <w:rPr>
                <w:rFonts w:ascii="Arial" w:cs="Arial" w:eastAsia="Arial" w:hAnsi="Arial"/>
                <w:b/>
                <w:bCs/>
                <w:sz w:val="20"/>
                <w:szCs w:val="20"/>
              </w:rPr>
              <w:t xml:space="preserve">Manuscript ID</w:t>
            </w:r>
          </w:p>
        </w:tc>
        <w:tc>
          <w:tcPr>
            <w:tcW w:type="dxa" w:w="656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r>
              <w:rPr>
                <w:rFonts w:ascii="Arial" w:cs="Arial" w:eastAsia="Arial" w:hAnsi="Arial"/>
                <w:sz w:val="20"/>
                <w:szCs w:val="20"/>
              </w:rPr>
              <w:t xml:space="preserve">T-IFS-2026-XXXX (Blind Review — Round 3)</w:t>
            </w:r>
          </w:p>
        </w:tc>
      </w:tr>
      <w:tr>
        <w:tc>
          <w:tcPr>
            <w:tcW w:type="dxa" w:w="2800"/>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Arial" w:cs="Arial" w:eastAsia="Arial" w:hAnsi="Arial"/>
                <w:b/>
                <w:bCs/>
                <w:sz w:val="20"/>
                <w:szCs w:val="20"/>
              </w:rPr>
              <w:t xml:space="preserve">Prior Decision</w:t>
            </w:r>
          </w:p>
        </w:tc>
        <w:tc>
          <w:tcPr>
            <w:tcW w:type="dxa" w:w="6560"/>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Arial" w:cs="Arial" w:eastAsia="Arial" w:hAnsi="Arial"/>
                <w:sz w:val="20"/>
                <w:szCs w:val="20"/>
              </w:rPr>
              <w:t xml:space="preserve">Major Revision (Round 2) — Resubmit</w:t>
            </w:r>
          </w:p>
        </w:tc>
      </w:tr>
      <w:tr>
        <w:tc>
          <w:tcPr>
            <w:tcW w:type="dxa" w:w="28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r>
              <w:rPr>
                <w:rFonts w:ascii="Arial" w:cs="Arial" w:eastAsia="Arial" w:hAnsi="Arial"/>
                <w:b/>
                <w:bCs/>
                <w:sz w:val="20"/>
                <w:szCs w:val="20"/>
              </w:rPr>
              <w:t xml:space="preserve">Review Basis</w:t>
            </w:r>
          </w:p>
        </w:tc>
        <w:tc>
          <w:tcPr>
            <w:tcW w:type="dxa" w:w="656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r>
              <w:rPr>
                <w:rFonts w:ascii="Arial" w:cs="Arial" w:eastAsia="Arial" w:hAnsi="Arial"/>
                <w:sz w:val="20"/>
                <w:szCs w:val="20"/>
              </w:rPr>
              <w:t xml:space="preserve">Revised manuscript IEEE_Research_Paper_MITRE_CORE.md + author cover letter</w:t>
            </w:r>
          </w:p>
        </w:tc>
      </w:tr>
      <w:tr>
        <w:tc>
          <w:tcPr>
            <w:tcW w:type="dxa" w:w="2800"/>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Arial" w:cs="Arial" w:eastAsia="Arial" w:hAnsi="Arial"/>
                <w:b/>
                <w:bCs/>
                <w:sz w:val="20"/>
                <w:szCs w:val="20"/>
              </w:rPr>
              <w:t xml:space="preserve">Reviewer</w:t>
            </w:r>
          </w:p>
        </w:tc>
        <w:tc>
          <w:tcPr>
            <w:tcW w:type="dxa" w:w="6560"/>
            <w:tcBorders>
              <w:top w:val="single" w:color="AAAAAA" w:sz="1"/>
              <w:left w:val="single" w:color="AAAAAA" w:sz="1"/>
              <w:bottom w:val="single" w:color="AAAAAA" w:sz="1"/>
              <w:right w:val="single" w:color="AAAAAA" w:sz="1"/>
            </w:tcBorders>
            <w:shd w:fill="F8FAFC" w:val="clear"/>
            <w:tcMar>
              <w:top w:type="dxa" w:w="80"/>
              <w:left w:type="dxa" w:w="120"/>
              <w:bottom w:type="dxa" w:w="80"/>
              <w:right w:type="dxa" w:w="120"/>
            </w:tcMar>
          </w:tcPr>
          <w:p>
            <w:r>
              <w:rPr>
                <w:rFonts w:ascii="Arial" w:cs="Arial" w:eastAsia="Arial" w:hAnsi="Arial"/>
                <w:sz w:val="20"/>
                <w:szCs w:val="20"/>
              </w:rPr>
              <w:t xml:space="preserve">Anonymous (Continuity Reviewer, Rounds 1–3)</w:t>
            </w:r>
          </w:p>
        </w:tc>
      </w:tr>
      <w:tr>
        <w:tc>
          <w:tcPr>
            <w:tcW w:type="dxa" w:w="28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r>
              <w:rPr>
                <w:rFonts w:ascii="Arial" w:cs="Arial" w:eastAsia="Arial" w:hAnsi="Arial"/>
                <w:b/>
                <w:bCs/>
                <w:sz w:val="20"/>
                <w:szCs w:val="20"/>
              </w:rPr>
              <w:t xml:space="preserve">Review Date</w:t>
            </w:r>
          </w:p>
        </w:tc>
        <w:tc>
          <w:tcPr>
            <w:tcW w:type="dxa" w:w="656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r>
              <w:rPr>
                <w:rFonts w:ascii="Arial" w:cs="Arial" w:eastAsia="Arial" w:hAnsi="Arial"/>
                <w:sz w:val="20"/>
                <w:szCs w:val="20"/>
              </w:rPr>
              <w:t xml:space="preserve">February 2026</w:t>
            </w:r>
          </w:p>
        </w:tc>
      </w:tr>
    </w:tbl>
    <w:p>
      <w:pPr>
        <w:spacing w:before="2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8B1A1A"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MAJOR REVISION — ROUND 4 REQUIRED</w:t>
            </w:r>
          </w:p>
          <w:p>
            <w:pPr>
              <w:jc w:val="center"/>
            </w:pPr>
            <w:r>
              <w:rPr>
                <w:rFonts w:ascii="Arial" w:cs="Arial" w:eastAsia="Arial" w:hAnsi="Arial"/>
                <w:color w:val="F0F0F0"/>
                <w:sz w:val="20"/>
                <w:szCs w:val="20"/>
              </w:rPr>
              <w:t xml:space="preserve">Revised Score: 5 / 10  |  Status: New Critical Issues Introduced  |  Decision: Cannot Accept Without Full Consistency Pass</w:t>
            </w:r>
          </w:p>
        </w:tc>
      </w:tr>
    </w:tbl>
    <w:p>
      <w:pPr>
        <w:spacing w:before="240" w:after="80"/>
      </w:pPr>
    </w:p>
    <w:p>
      <w:pPr>
        <w:pStyle w:val="Heading1"/>
        <w:spacing w:before="360" w:after="120"/>
      </w:pPr>
      <w:r>
        <w:rPr>
          <w:rFonts w:ascii="Arial" w:cs="Arial" w:eastAsia="Arial" w:hAnsi="Arial"/>
          <w:b/>
          <w:bCs/>
          <w:color w:val="1F3864"/>
          <w:sz w:val="28"/>
          <w:szCs w:val="28"/>
        </w:rPr>
        <w:t xml:space="preserve">1. Executive Summary</w:t>
      </w:r>
    </w:p>
    <w:p>
      <w:pPr>
        <w:spacing w:before="60" w:after="80"/>
      </w:pPr>
      <w:r>
        <w:rPr>
          <w:rFonts w:ascii="Arial" w:cs="Arial" w:eastAsia="Arial" w:hAnsi="Arial"/>
          <w:sz w:val="21"/>
          <w:szCs w:val="21"/>
        </w:rPr>
        <w:t xml:space="preserve">This revision represents genuine scientific progress on two fronts: the authors discovered and corrected a training pipeline bug, and they ran the multi-seed and homogeneous baseline experiments that reviewers have been requesting. Both actions reflect commendable scientific integrity. The reviewer acknowledges this effort without reservation.</w:t>
      </w:r>
    </w:p>
    <w:p>
      <w:pPr>
        <w:spacing w:before="40" w:after="40"/>
      </w:pPr>
    </w:p>
    <w:p>
      <w:pPr>
        <w:spacing w:before="60" w:after="80"/>
      </w:pPr>
      <w:r>
        <w:rPr>
          <w:rFonts w:ascii="Arial" w:cs="Arial" w:eastAsia="Arial" w:hAnsi="Arial"/>
          <w:sz w:val="21"/>
          <w:szCs w:val="21"/>
        </w:rPr>
        <w:t xml:space="preserve">However, the bug fix has precipitated a consistency crisis that runs through nearly every performance claim in the paper. The corrected HGNN test accuracy (66.32%) differs from the previously reported figure (86.45%) by 20 percentage points. This single number is cited — in its old, now-incorrect form — in the abstract, Section IV.C, Section VII.D, the conclusion, and Appendix C. The paper currently contains two mutually exclusive sets of performance numbers for the same model. A reviewer reading the body text reaches entirely different conclusions about the system's capability depending on which table they consult.</w:t>
      </w:r>
    </w:p>
    <w:p>
      <w:pPr>
        <w:spacing w:before="40" w:after="40"/>
      </w:pPr>
    </w:p>
    <w:p>
      <w:pPr>
        <w:spacing w:before="60" w:after="80"/>
      </w:pPr>
      <w:r>
        <w:rPr>
          <w:rFonts w:ascii="Arial" w:cs="Arial" w:eastAsia="Arial" w:hAnsi="Arial"/>
          <w:sz w:val="21"/>
          <w:szCs w:val="21"/>
        </w:rPr>
        <w:t xml:space="preserve">Compounding this, the multi-seed homogeneous baseline experiment produced a result with profound implications for the paper's central architectural claim: the HGNN and the 2-layer homogeneous GCN achieve identical test accuracy (66.32%). The paper's introduction and related work still assert, with no qualification, that heterogeneous attention outperforms homogeneous alternatives by 8–15% ARI. That claim is now directly contradicted by the paper's own Table IV-C. This is the most serious issue of the revision cycle, and it requires either a substantial architectural investigation or a significant reframing of what the paper claims to contribute.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120"/>
              <w:left w:type="dxa" w:w="200"/>
              <w:bottom w:type="dxa" w:w="120"/>
              <w:right w:type="dxa" w:w="200"/>
            </w:tcMar>
          </w:tcPr>
          <w:p>
            <w:r>
              <w:rPr>
                <w:rFonts w:ascii="Arial" w:cs="Arial" w:eastAsia="Arial" w:hAnsi="Arial"/>
                <w:b/>
                <w:bCs/>
                <w:color w:val="1A5276"/>
                <w:sz w:val="20"/>
                <w:szCs w:val="20"/>
              </w:rPr>
              <w:t xml:space="preserve">ℹ️  The path to acceptance exists. The consistency issues are mechanical fixes. The architectural parity requires scientific investigation. Neither is insurmountable. But both must be resolved before acceptance.</w:t>
            </w:r>
          </w:p>
        </w:tc>
      </w:tr>
    </w:tbl>
    <w:p>
      <w:pPr>
        <w:spacing w:before="240" w:after="80"/>
      </w:pPr>
    </w:p>
    <w:p>
      <w:pPr>
        <w:pStyle w:val="Heading1"/>
        <w:spacing w:before="360" w:after="120"/>
      </w:pPr>
      <w:r>
        <w:rPr>
          <w:rFonts w:ascii="Arial" w:cs="Arial" w:eastAsia="Arial" w:hAnsi="Arial"/>
          <w:b/>
          <w:bCs/>
          <w:color w:val="1F3864"/>
          <w:sz w:val="28"/>
          <w:szCs w:val="28"/>
        </w:rPr>
        <w:t xml:space="preserve">2. The Bug Fix and Its Cascading Consequences</w:t>
      </w:r>
    </w:p>
    <w:p>
      <w:pPr>
        <w:pStyle w:val="Heading2"/>
        <w:spacing w:before="240" w:after="80"/>
      </w:pPr>
      <w:r>
        <w:rPr>
          <w:rFonts w:ascii="Arial" w:cs="Arial" w:eastAsia="Arial" w:hAnsi="Arial"/>
          <w:b/>
          <w:bCs/>
          <w:color w:val="2E5090"/>
          <w:sz w:val="24"/>
          <w:szCs w:val="24"/>
        </w:rPr>
        <w:t xml:space="preserve">2.1  What Changed and Why It Matters</w:t>
      </w:r>
    </w:p>
    <w:p>
      <w:pPr>
        <w:spacing w:before="60" w:after="80"/>
      </w:pPr>
      <w:r>
        <w:rPr>
          <w:rFonts w:ascii="Arial" w:cs="Arial" w:eastAsia="Arial" w:hAnsi="Arial"/>
          <w:sz w:val="21"/>
          <w:szCs w:val="21"/>
        </w:rPr>
        <w:t xml:space="preserve">The authors report fixing a bug where 'the loss was artificially dropping to 0.0000 due to a mismatch between label mapping and the graph dataset features.' The corrected training pipeline yields 66.32% test accuracy (1,583/2,387 graphs). The reviewer records the following questions about this disclosure that must be addressed in the paper:</w:t>
      </w:r>
    </w:p>
    <w:p>
      <w:pPr>
        <w:spacing w:before="40" w:after="40"/>
      </w:pPr>
    </w:p>
    <w:p>
      <w:pPr>
        <w:spacing w:before="60" w:after="80"/>
      </w:pPr>
      <w:r>
        <w:rPr>
          <w:rFonts w:ascii="Arial" w:cs="Arial" w:eastAsia="Arial" w:hAnsi="Arial"/>
          <w:b/>
          <w:bCs/>
          <w:sz w:val="21"/>
          <w:szCs w:val="21"/>
        </w:rPr>
        <w:t xml:space="preserve">What was the nature of the label-mapping mismatch? </w:t>
      </w:r>
      <w:r>
        <w:rPr>
          <w:rFonts w:ascii="Arial" w:cs="Arial" w:eastAsia="Arial" w:hAnsi="Arial"/>
          <w:sz w:val="21"/>
          <w:szCs w:val="21"/>
        </w:rPr>
        <w:t xml:space="preserve">A loss of exactly 0.0000 is an extreme signal — it typically indicates label leakage (the model sees the answer), a collapse to trivial predictions that happen to match a degenerate labeling, or a gradient computation error. The paper must explain the bug concisely in a footnote or in Section VII.H (Limitations). Reviewers and readers need to understand whether the previously-reported 86.45% figure was the product of label leakage or an implementation error, because the interpretation differs substantially.</w:t>
      </w:r>
    </w:p>
    <w:p>
      <w:pPr>
        <w:spacing w:before="40" w:after="40"/>
      </w:pPr>
    </w:p>
    <w:p>
      <w:pPr>
        <w:spacing w:before="60" w:after="80"/>
      </w:pPr>
      <w:r>
        <w:rPr>
          <w:rFonts w:ascii="Arial" w:cs="Arial" w:eastAsia="Arial" w:hAnsi="Arial"/>
          <w:b/>
          <w:bCs/>
          <w:sz w:val="21"/>
          <w:szCs w:val="21"/>
        </w:rPr>
        <w:t xml:space="preserve">Does the bug affect the clustering ARI = 0.7779? </w:t>
      </w:r>
      <w:r>
        <w:rPr>
          <w:rFonts w:ascii="Arial" w:cs="Arial" w:eastAsia="Arial" w:hAnsi="Arial"/>
          <w:sz w:val="21"/>
          <w:szCs w:val="21"/>
        </w:rPr>
        <w:t xml:space="preserve">Table III still reports HGNN ARI = 0.7779. This figure is derived from alert-level embeddings of the HGNN, not from graph-level classification. If the bug affected only the supervised fine-tuning head (the classification layer) and not the contrastive pre-training encoder, the ARI result may be unaffected. If the entire training pipeline was corrupted, the ARI result must be re-evaluated with the corrected model. This distinction is critical and must be explicitly addressed.</w:t>
      </w:r>
    </w:p>
    <w:p>
      <w:pPr>
        <w:spacing w:before="40" w:after="40"/>
      </w:pPr>
    </w:p>
    <w:p>
      <w:pPr>
        <w:spacing w:before="60" w:after="80"/>
      </w:pPr>
      <w:r>
        <w:rPr>
          <w:rFonts w:ascii="Arial" w:cs="Arial" w:eastAsia="Arial" w:hAnsi="Arial"/>
          <w:b/>
          <w:bCs/>
          <w:sz w:val="21"/>
          <w:szCs w:val="21"/>
        </w:rPr>
        <w:t xml:space="preserve">Was the Optuna search affected by the bug? </w:t>
      </w:r>
      <w:r>
        <w:rPr>
          <w:rFonts w:ascii="Arial" w:cs="Arial" w:eastAsia="Arial" w:hAnsi="Arial"/>
          <w:sz w:val="21"/>
          <w:szCs w:val="21"/>
        </w:rPr>
        <w:t xml:space="preserve">Table V lists Optuna-optimal hyperparameters, including temperature τ = 0.443 and dropout = 0.321. If these hyperparameters were selected under the buggy training pipeline, they are not valid optimal values for the corrected pipeline. The authors should state whether Optuna was re-run after the bug fix.</w:t>
      </w:r>
    </w:p>
    <w:p>
      <w:pPr>
        <w:spacing w:before="240" w:after="80"/>
      </w:pPr>
    </w:p>
    <w:p>
      <w:pPr>
        <w:pStyle w:val="Heading2"/>
        <w:spacing w:before="240" w:after="80"/>
      </w:pPr>
      <w:r>
        <w:rPr>
          <w:rFonts w:ascii="Arial" w:cs="Arial" w:eastAsia="Arial" w:hAnsi="Arial"/>
          <w:b/>
          <w:bCs/>
          <w:color w:val="2E5090"/>
          <w:sz w:val="24"/>
          <w:szCs w:val="24"/>
        </w:rPr>
        <w:t xml:space="preserve">2.2  The Inconsistency Cascade — Complete Map</w:t>
      </w:r>
    </w:p>
    <w:p>
      <w:pPr>
        <w:spacing w:before="60" w:after="80"/>
      </w:pPr>
      <w:r>
        <w:rPr>
          <w:rFonts w:ascii="Arial" w:cs="Arial" w:eastAsia="Arial" w:hAnsi="Arial"/>
          <w:sz w:val="21"/>
          <w:szCs w:val="21"/>
        </w:rPr>
        <w:t xml:space="preserve">The following table documents every location in the revised manuscript where an 86.45% figure or a 338/391 figure appears alongside the now-corrected 66.32% / 1583/2387 figures from Tables IV and IV-B. Every flagged location is a factual error in the submitted manuscript.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3480"/>
        <w:gridCol w:w="6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Location</w:t>
            </w:r>
          </w:p>
        </w:tc>
        <w:tc>
          <w:tcPr>
            <w:tcW w:type="dxa" w:w="3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Round 2 / Previous Claim</w:t>
            </w:r>
          </w:p>
        </w:tc>
        <w:tc>
          <w:tcPr>
            <w:tcW w:type="dxa" w:w="3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Round 3 Paper Text</w:t>
            </w:r>
          </w:p>
        </w:tc>
        <w:tc>
          <w:tcPr>
            <w:tcW w:type="dxa" w:w="600"/>
            <w:tcBorders>
              <w:top w:val="single" w:color="AAAAAA" w:sz="1"/>
              <w:left w:val="single" w:color="AAAAAA" w:sz="1"/>
              <w:bottom w:val="single" w:color="AAAAAA" w:sz="1"/>
              <w:right w:val="single" w:color="AAAAAA" w:sz="1"/>
            </w:tcBorders>
            <w:shd w:fill="1F3864" w:val="clear"/>
            <w:tcMar>
              <w:top w:type="dxa" w:w="80"/>
              <w:left w:type="dxa" w:w="60"/>
              <w:bottom w:type="dxa" w:w="80"/>
              <w:right w:type="dxa" w:w="60"/>
            </w:tcMar>
          </w:tcPr>
          <w:p>
            <w:pPr>
              <w:jc w:val="center"/>
            </w:pPr>
            <w:r>
              <w:rPr>
                <w:rFonts w:ascii="Arial" w:cs="Arial" w:eastAsia="Arial" w:hAnsi="Arial"/>
                <w:b/>
                <w:bCs/>
                <w:color w:val="FFFFFF"/>
                <w:sz w:val="18"/>
                <w:szCs w:val="18"/>
              </w:rPr>
              <w:t xml:space="preserve">Flag</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b/>
                <w:bCs/>
                <w:sz w:val="18"/>
                <w:szCs w:val="18"/>
              </w:rPr>
              <w:t xml:space="preserve">Abstract</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i/>
                <w:iCs/>
                <w:sz w:val="18"/>
                <w:szCs w:val="18"/>
              </w:rPr>
              <w:t xml:space="preserve">Contrastive pre-training improves accuracy by 31.4 percentage points over supervised-only training</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color w:val="922B21"/>
                <w:sz w:val="18"/>
                <w:szCs w:val="18"/>
              </w:rPr>
              <w:t xml:space="preserve">Not updated — abstract still cites 31.4 pp</w:t>
            </w:r>
          </w:p>
        </w:tc>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18"/>
                <w:szCs w:val="18"/>
              </w:rPr>
              <w:t xml:space="preserve">Table III (HGNN row, note)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i/>
                <w:iCs/>
                <w:sz w:val="18"/>
                <w:szCs w:val="18"/>
              </w:rPr>
              <w:t xml:space="preserve">HGNN campaign classification accuracy (86.45% on 391 mini-graphs)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color w:val="922B21"/>
                <w:sz w:val="18"/>
                <w:szCs w:val="18"/>
              </w:rPr>
              <w:t xml:space="preserve">86.45% / 391 graphs not updated</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b/>
                <w:bCs/>
                <w:sz w:val="18"/>
                <w:szCs w:val="18"/>
              </w:rPr>
              <w:t xml:space="preserve">Table IV</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i/>
                <w:iCs/>
                <w:sz w:val="18"/>
                <w:szCs w:val="18"/>
              </w:rPr>
              <w:t xml:space="preserve">Phase 2 End: 86.4%; Test: 86.45% (338/391 correct); Improvement: +31.4 pp</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color w:val="1E7E34"/>
                <w:sz w:val="18"/>
                <w:szCs w:val="18"/>
              </w:rPr>
              <w:t xml:space="preserve">Updated to 66.3%/66.32%/1583/2387; +11.3 pp</w:t>
            </w:r>
          </w:p>
        </w:tc>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18"/>
                <w:szCs w:val="18"/>
              </w:rPr>
              <w:t xml:space="preserve">Table IV-B</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i/>
                <w:iCs/>
                <w:sz w:val="18"/>
                <w:szCs w:val="18"/>
              </w:rPr>
              <w:t xml:space="preserve">(New table added)</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color w:val="1E7E34"/>
                <w:sz w:val="18"/>
                <w:szCs w:val="18"/>
              </w:rPr>
              <w:t xml:space="preserve">66.32% ± 0.000% across 5 seeds</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b/>
                <w:bCs/>
                <w:sz w:val="18"/>
                <w:szCs w:val="18"/>
              </w:rPr>
              <w:t xml:space="preserve">Table IV-C</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i/>
                <w:iCs/>
                <w:sz w:val="18"/>
                <w:szCs w:val="18"/>
              </w:rPr>
              <w:t xml:space="preserve">(New table added)</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color w:val="1E7E34"/>
                <w:sz w:val="18"/>
                <w:szCs w:val="18"/>
              </w:rPr>
              <w:t xml:space="preserve">Both HGNN and HomGNN: 66.32%</w:t>
            </w:r>
          </w:p>
        </w:tc>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18"/>
                <w:szCs w:val="18"/>
              </w:rPr>
              <w:t xml:space="preserve">Section VI.B (calibration)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i/>
                <w:iCs/>
                <w:sz w:val="18"/>
                <w:szCs w:val="18"/>
              </w:rPr>
              <w:t xml:space="preserve">model's softmax... argmax predictions correct for 338/391 test graphs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color w:val="922B21"/>
                <w:sz w:val="18"/>
                <w:szCs w:val="18"/>
              </w:rPr>
              <w:t xml:space="preserve">338/391 not updated; references old graph count</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b/>
                <w:bCs/>
                <w:sz w:val="18"/>
                <w:szCs w:val="18"/>
              </w:rPr>
              <w:t xml:space="preserve">Section VI.D Ablation Finding 3</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i/>
                <w:iCs/>
                <w:sz w:val="18"/>
                <w:szCs w:val="18"/>
              </w:rPr>
              <w:t xml:space="preserve">Full system (contrastive+supervised+Optuna): 86.45%</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color w:val="922B21"/>
                <w:sz w:val="18"/>
                <w:szCs w:val="18"/>
              </w:rPr>
              <w:t xml:space="preserve">Not updated — still says 86.45%</w:t>
            </w:r>
          </w:p>
        </w:tc>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18"/>
                <w:szCs w:val="18"/>
              </w:rPr>
              <w:t xml:space="preserve">Section VI.D Ablation Finding 3</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i/>
                <w:iCs/>
                <w:sz w:val="18"/>
                <w:szCs w:val="18"/>
              </w:rPr>
              <w:t xml:space="preserve">Supervised only (no contrastive): ~55%, -31.4 pp</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color w:val="922B21"/>
                <w:sz w:val="18"/>
                <w:szCs w:val="18"/>
              </w:rPr>
              <w:t xml:space="preserve">Not updated — still says -31.4 pp</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b/>
                <w:bCs/>
                <w:sz w:val="18"/>
                <w:szCs w:val="18"/>
              </w:rPr>
              <w:t xml:space="preserve">Section VII.D</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i/>
                <w:iCs/>
                <w:sz w:val="18"/>
                <w:szCs w:val="18"/>
              </w:rPr>
              <w:t xml:space="preserve">31.4 percentage point improvement from InfoNCE (55% → 86.45%)</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color w:val="922B21"/>
                <w:sz w:val="18"/>
                <w:szCs w:val="18"/>
              </w:rPr>
              <w:t xml:space="preserve">Not updated — body text still says 86.45%</w:t>
            </w:r>
          </w:p>
        </w:tc>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18"/>
                <w:szCs w:val="18"/>
              </w:rPr>
              <w:t xml:space="preserve">Section VII.D</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i/>
                <w:iCs/>
                <w:sz w:val="18"/>
                <w:szCs w:val="18"/>
              </w:rPr>
              <w:t xml:space="preserve">single largest contributor to HGNN performance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color w:val="922B21"/>
                <w:sz w:val="18"/>
                <w:szCs w:val="18"/>
              </w:rPr>
              <w:t xml:space="preserve">Not updated</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b/>
                <w:bCs/>
                <w:sz w:val="18"/>
                <w:szCs w:val="18"/>
              </w:rPr>
              <w:t xml:space="preserve">Section VIII Conclusion Finding 2</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i/>
                <w:iCs/>
                <w:sz w:val="18"/>
                <w:szCs w:val="18"/>
              </w:rPr>
              <w:t xml:space="preserve">InfoNCE pre-training improves accuracy by 31.4 pp (55% → 86.45%)</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color w:val="922B21"/>
                <w:sz w:val="18"/>
                <w:szCs w:val="18"/>
              </w:rPr>
              <w:t xml:space="preserve">Not updated — conclusion still says 86.45%</w:t>
            </w:r>
          </w:p>
        </w:tc>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18"/>
                <w:szCs w:val="18"/>
              </w:rPr>
              <w:t xml:space="preserve">Appendix C.3 (COMPARISON_REPORT)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i/>
                <w:iCs/>
                <w:sz w:val="18"/>
                <w:szCs w:val="18"/>
              </w:rPr>
              <w:t xml:space="preserve">Test Accuracy: 86.45% (338/391 correct); Phase 2 +31.4 pp</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color w:val="922B21"/>
                <w:sz w:val="18"/>
                <w:szCs w:val="18"/>
              </w:rPr>
              <w:t xml:space="preserve">Not updated — Appendix C still shows old numbers</w:t>
            </w:r>
          </w:p>
        </w:tc>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sz w:val="18"/>
                <w:szCs w:val="18"/>
              </w:rPr>
              <w:t xml:space="preserve">❌</w:t>
            </w:r>
          </w:p>
        </w:tc>
      </w:tr>
      <w:tr>
        <w:tc>
          <w:tcPr>
            <w:tcW w:type="dxa" w:w="18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b/>
                <w:bCs/>
                <w:sz w:val="18"/>
                <w:szCs w:val="18"/>
              </w:rPr>
              <w:t xml:space="preserve">Figure 5 caption</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i/>
                <w:iCs/>
                <w:sz w:val="18"/>
                <w:szCs w:val="18"/>
              </w:rPr>
              <w:t xml:space="preserve">55% → 86.4%, +31.4 pp. Test accuracy: 86.45% (338/391 correct)</w:t>
            </w:r>
          </w:p>
        </w:tc>
        <w:tc>
          <w:tcPr>
            <w:tcW w:type="dxa" w:w="348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color w:val="922B21"/>
                <w:sz w:val="18"/>
                <w:szCs w:val="18"/>
              </w:rPr>
              <w:t xml:space="preserve">Not updated</w:t>
            </w:r>
          </w:p>
        </w:tc>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sz w:val="18"/>
                <w:szCs w:val="18"/>
              </w:rPr>
              <w:t xml:space="preserve">❌</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DEDEC" w:val="clear"/>
            <w:tcMar>
              <w:top w:type="dxa" w:w="120"/>
              <w:left w:type="dxa" w:w="200"/>
              <w:bottom w:type="dxa" w:w="120"/>
              <w:right w:type="dxa" w:w="200"/>
            </w:tcMar>
          </w:tcPr>
          <w:p>
            <w:r>
              <w:rPr>
                <w:rFonts w:ascii="Arial" w:cs="Arial" w:eastAsia="Arial" w:hAnsi="Arial"/>
                <w:b/>
                <w:bCs/>
                <w:color w:val="922B21"/>
                <w:sz w:val="20"/>
                <w:szCs w:val="20"/>
              </w:rPr>
              <w:t xml:space="preserve">❌  9 out of 13 locations containing the 86.45% / 338/391 / 31.4 pp figures have NOT been updated. The paper simultaneously reports two mutually inconsistent sets of results for the same model.</w:t>
            </w:r>
          </w:p>
        </w:tc>
      </w:tr>
    </w:tbl>
    <w:p>
      <w:pPr>
        <w:spacing w:before="240" w:after="80"/>
      </w:pPr>
    </w:p>
    <w:p>
      <w:pPr>
        <w:pStyle w:val="Heading1"/>
        <w:spacing w:before="360" w:after="120"/>
      </w:pPr>
      <w:r>
        <w:rPr>
          <w:rFonts w:ascii="Arial" w:cs="Arial" w:eastAsia="Arial" w:hAnsi="Arial"/>
          <w:b/>
          <w:bCs/>
          <w:color w:val="1F3864"/>
          <w:sz w:val="28"/>
          <w:szCs w:val="28"/>
        </w:rPr>
        <w:t xml:space="preserve">3. Critical Issue: HGNN = HomGNN — Architectural Claim Nullified</w:t>
      </w:r>
    </w:p>
    <w:p>
      <w:pPr>
        <w:spacing w:before="60" w:after="80"/>
      </w:pPr>
      <w:r>
        <w:rPr>
          <w:rFonts w:ascii="Arial" w:cs="Arial" w:eastAsia="Arial" w:hAnsi="Arial"/>
          <w:sz w:val="21"/>
          <w:szCs w:val="21"/>
        </w:rPr>
        <w:t xml:space="preserve">Table IV-C reports that the MITRE-CORE HGNN and the 2-layer homogeneous GCN baseline achieve identical test accuracy of 66.32%. The HGNN has a marginally lower Phase 2 minimum loss (0.8921 vs. 0.9089), but this difference in loss does not translate to a difference in the metric that matters for claim-making: accuracy. The heterogeneous model offers no measurable accuracy advantage over the simplest possible homogeneous alternative on this dataset.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1" w:val="clear"/>
            <w:tcMar>
              <w:top w:type="dxa" w:w="120"/>
              <w:left w:type="dxa" w:w="200"/>
              <w:bottom w:type="dxa" w:w="120"/>
              <w:right w:type="dxa" w:w="200"/>
            </w:tcMar>
          </w:tcPr>
          <w:p>
            <w:r>
              <w:rPr>
                <w:rFonts w:ascii="Arial" w:cs="Arial" w:eastAsia="Arial" w:hAnsi="Arial"/>
                <w:b/>
                <w:bCs/>
                <w:color w:val="7A5800"/>
                <w:sz w:val="20"/>
                <w:szCs w:val="20"/>
              </w:rPr>
              <w:t xml:space="preserve">⚠️  Table IV-C reports HGNN accuracy = 66.32%, HomGNN accuracy = 66.32%. Delta = 0.00 pp. The paper's entire heterogeneous architecture motivation depends on heterogeneous modeling providing a measurable advantage.</w:t>
            </w:r>
          </w:p>
        </w:tc>
      </w:tr>
    </w:tbl>
    <w:p>
      <w:pPr>
        <w:spacing w:before="80" w:after="60"/>
      </w:pPr>
    </w:p>
    <w:p>
      <w:pPr>
        <w:pStyle w:val="Heading2"/>
        <w:spacing w:before="240" w:after="80"/>
      </w:pPr>
      <w:r>
        <w:rPr>
          <w:rFonts w:ascii="Arial" w:cs="Arial" w:eastAsia="Arial" w:hAnsi="Arial"/>
          <w:b/>
          <w:bCs/>
          <w:color w:val="2E5090"/>
          <w:sz w:val="24"/>
          <w:szCs w:val="24"/>
        </w:rPr>
        <w:t xml:space="preserve">3.1  The Contradiction with Existing Paper Text</w:t>
      </w:r>
    </w:p>
    <w:p>
      <w:pPr>
        <w:spacing w:before="60" w:after="80"/>
      </w:pPr>
      <w:r>
        <w:rPr>
          <w:rFonts w:ascii="Arial" w:cs="Arial" w:eastAsia="Arial" w:hAnsi="Arial"/>
          <w:sz w:val="21"/>
          <w:szCs w:val="21"/>
        </w:rPr>
        <w:t xml:space="preserve">The following passages in the current manuscript assert heterogeneous superiority as fact. They are now directly contradicted by Table IV-C:</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14"/>
              <w:bottom w:val="none"/>
              <w:right w:val="none"/>
            </w:tcBorders>
            <w:shd w:fill="FDF2F2" w:val="clear"/>
            <w:tcMar>
              <w:top w:type="dxa" w:w="80"/>
              <w:left w:type="dxa" w:w="200"/>
              <w:bottom w:type="dxa" w:w="80"/>
              <w:right w:type="dxa" w:w="120"/>
            </w:tcMar>
          </w:tcPr>
          <w:p>
            <w:r>
              <w:rPr>
                <w:rFonts w:ascii="Arial" w:cs="Arial" w:eastAsia="Arial" w:hAnsi="Arial"/>
                <w:i/>
                <w:iCs/>
                <w:color w:val="444444"/>
                <w:sz w:val="20"/>
                <w:szCs w:val="20"/>
              </w:rPr>
              <w:t xml:space="preserve">“The ACM 2024 study [9] confirmed that heterogeneous attention outperforms homogeneous alternatives by 8–15% ARI on APT detection tasks.”</w:t>
            </w:r>
          </w:p>
          <w:p>
            <w:r>
              <w:rPr>
                <w:rFonts w:ascii="Arial" w:cs="Arial" w:eastAsia="Arial" w:hAnsi="Arial"/>
                <w:color w:val="888888"/>
                <w:sz w:val="18"/>
                <w:szCs w:val="18"/>
              </w:rPr>
              <w:t xml:space="preserve">— Section I.B (Limitations of Existing Approaches) — unchanged across all three rounds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14"/>
              <w:bottom w:val="none"/>
              <w:right w:val="none"/>
            </w:tcBorders>
            <w:shd w:fill="FDF2F2" w:val="clear"/>
            <w:tcMar>
              <w:top w:type="dxa" w:w="80"/>
              <w:left w:type="dxa" w:w="200"/>
              <w:bottom w:type="dxa" w:w="80"/>
              <w:right w:type="dxa" w:w="120"/>
            </w:tcMar>
          </w:tcPr>
          <w:p>
            <w:r>
              <w:rPr>
                <w:rFonts w:ascii="Arial" w:cs="Arial" w:eastAsia="Arial" w:hAnsi="Arial"/>
                <w:i/>
                <w:iCs/>
                <w:color w:val="444444"/>
                <w:sz w:val="20"/>
                <w:szCs w:val="20"/>
              </w:rPr>
              <w:t xml:space="preserve">“Homogeneous graph models collapse distinct entity types... into a single node type, losing critical relational information.”</w:t>
            </w:r>
          </w:p>
          <w:p>
            <w:r>
              <w:rPr>
                <w:rFonts w:ascii="Arial" w:cs="Arial" w:eastAsia="Arial" w:hAnsi="Arial"/>
                <w:color w:val="888888"/>
                <w:sz w:val="18"/>
                <w:szCs w:val="18"/>
              </w:rPr>
              <w:t xml:space="preserve">— Section I.B — unchanged across all three rounds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14"/>
              <w:bottom w:val="none"/>
              <w:right w:val="none"/>
            </w:tcBorders>
            <w:shd w:fill="FDF2F2" w:val="clear"/>
            <w:tcMar>
              <w:top w:type="dxa" w:w="80"/>
              <w:left w:type="dxa" w:w="200"/>
              <w:bottom w:type="dxa" w:w="80"/>
              <w:right w:type="dxa" w:w="120"/>
            </w:tcMar>
          </w:tcPr>
          <w:p>
            <w:r>
              <w:rPr>
                <w:rFonts w:ascii="Arial" w:cs="Arial" w:eastAsia="Arial" w:hAnsi="Arial"/>
                <w:i/>
                <w:iCs/>
                <w:color w:val="444444"/>
                <w:sz w:val="20"/>
                <w:szCs w:val="20"/>
              </w:rPr>
              <w:t xml:space="preserve">“Multi-modal entity correlation: Homogeneous GNN: Partial (one type) vs. MITRE-CORE: Yes (4 node types)”</w:t>
            </w:r>
          </w:p>
          <w:p>
            <w:r>
              <w:rPr>
                <w:rFonts w:ascii="Arial" w:cs="Arial" w:eastAsia="Arial" w:hAnsi="Arial"/>
                <w:color w:val="888888"/>
                <w:sz w:val="18"/>
                <w:szCs w:val="18"/>
              </w:rPr>
              <w:t xml:space="preserve">— Table I Feature Comparison — unchanged across all three rounds</w:t>
            </w:r>
          </w:p>
        </w:tc>
      </w:tr>
    </w:tbl>
    <w:p>
      <w:pPr>
        <w:spacing w:before="40" w:after="40"/>
      </w:pPr>
    </w:p>
    <w:p>
      <w:pPr>
        <w:spacing w:before="60" w:after="80"/>
      </w:pPr>
      <w:r>
        <w:rPr>
          <w:rFonts w:ascii="Arial" w:cs="Arial" w:eastAsia="Arial" w:hAnsi="Arial"/>
          <w:sz w:val="21"/>
          <w:szCs w:val="21"/>
        </w:rPr>
        <w:t xml:space="preserve">None of these passages have been revised to acknowledge that the experiment in Table IV-C found no accuracy difference. A reviewer who reads Section I.B and then reads Table IV-C will conclude that the paper either made an error in the experiment or is suppressing an unwelcome finding.</w:t>
      </w:r>
    </w:p>
    <w:p>
      <w:pPr>
        <w:spacing w:before="80" w:after="60"/>
      </w:pPr>
    </w:p>
    <w:p>
      <w:pPr>
        <w:pStyle w:val="Heading2"/>
        <w:spacing w:before="240" w:after="80"/>
      </w:pPr>
      <w:r>
        <w:rPr>
          <w:rFonts w:ascii="Arial" w:cs="Arial" w:eastAsia="Arial" w:hAnsi="Arial"/>
          <w:b/>
          <w:bCs/>
          <w:color w:val="2E5090"/>
          <w:sz w:val="24"/>
          <w:szCs w:val="24"/>
        </w:rPr>
        <w:t xml:space="preserve">3.2  Permissible Interpretations and Required Response</w:t>
      </w:r>
    </w:p>
    <w:p>
      <w:pPr>
        <w:spacing w:before="60" w:after="80"/>
      </w:pPr>
      <w:r>
        <w:rPr>
          <w:rFonts w:ascii="Arial" w:cs="Arial" w:eastAsia="Arial" w:hAnsi="Arial"/>
          <w:sz w:val="21"/>
          <w:szCs w:val="21"/>
        </w:rPr>
        <w:t xml:space="preserve">The reviewer acknowledges that the absence of an accuracy difference does not necessarily mean the heterogeneous architecture is wrong — it may indicate a dataset limitation, a graph construction problem, or an insufficient training signal. The following are the three honest paths the authors may take, in order of the reviewer's preference:</w:t>
      </w:r>
    </w:p>
    <w:p>
      <w:pPr>
        <w:spacing w:before="40" w:after="40"/>
      </w:pPr>
    </w:p>
    <w:p>
      <w:pPr>
        <w:spacing w:before="60" w:after="80"/>
      </w:pPr>
      <w:r>
        <w:rPr>
          <w:rFonts w:ascii="Arial" w:cs="Arial" w:eastAsia="Arial" w:hAnsi="Arial"/>
          <w:b/>
          <w:bCs/>
          <w:sz w:val="21"/>
          <w:szCs w:val="21"/>
        </w:rPr>
        <w:t xml:space="preserve">Path A — Investigate the graph construction. </w:t>
      </w:r>
      <w:r>
        <w:rPr>
          <w:rFonts w:ascii="Arial" w:cs="Arial" w:eastAsia="Arial" w:hAnsi="Arial"/>
          <w:sz w:val="21"/>
          <w:szCs w:val="21"/>
        </w:rPr>
        <w:t xml:space="preserve">The UNSW-NB15 dataset has synthetic entity types (derived IPs, hostnames from service field). If the derived multi-type edges carry no information beyond what the alert-to-alert edges already encode, the HGNN effectively degrades to a homogeneous model regardless of its architectural complexity. The authors should report what fraction of edges are inter-type vs intra-type, whether removing inter-type edges changes accuracy, and whether the same result holds when evaluated on the clustering-level ARI (not just graph-level accuracy). This is the most scientifically informative response.</w:t>
      </w:r>
    </w:p>
    <w:p>
      <w:pPr>
        <w:spacing w:before="40" w:after="40"/>
      </w:pPr>
    </w:p>
    <w:p>
      <w:pPr>
        <w:spacing w:before="60" w:after="80"/>
      </w:pPr>
      <w:r>
        <w:rPr>
          <w:rFonts w:ascii="Arial" w:cs="Arial" w:eastAsia="Arial" w:hAnsi="Arial"/>
          <w:b/>
          <w:bCs/>
          <w:sz w:val="21"/>
          <w:szCs w:val="21"/>
        </w:rPr>
        <w:t xml:space="preserve">Path B — Reframe the contribution honestly. </w:t>
      </w:r>
      <w:r>
        <w:rPr>
          <w:rFonts w:ascii="Arial" w:cs="Arial" w:eastAsia="Arial" w:hAnsi="Arial"/>
          <w:sz w:val="21"/>
          <w:szCs w:val="21"/>
        </w:rPr>
        <w:t xml:space="preserve">If investigation confirms that HGNN and HomGNN are indistinguishable on this dataset, the paper should be reframed: the value of the heterogeneous schema is its architectural extensibility to real multi-entity environments (real SOC data, cloud telemetry) rather than a measurable advantage on UNSW-NB15's synthetic entities. This is a defensible and honest position, but Section I.B, Table I, and all related claims must be revised to reflect it.</w:t>
      </w:r>
    </w:p>
    <w:p>
      <w:pPr>
        <w:spacing w:before="40" w:after="40"/>
      </w:pPr>
    </w:p>
    <w:p>
      <w:pPr>
        <w:spacing w:before="60" w:after="80"/>
      </w:pPr>
      <w:r>
        <w:rPr>
          <w:rFonts w:ascii="Arial" w:cs="Arial" w:eastAsia="Arial" w:hAnsi="Arial"/>
          <w:b/>
          <w:bCs/>
          <w:sz w:val="21"/>
          <w:szCs w:val="21"/>
        </w:rPr>
        <w:t xml:space="preserve">Path C — Collect ARI metrics for the homogeneous baseline. </w:t>
      </w:r>
      <w:r>
        <w:rPr>
          <w:rFonts w:ascii="Arial" w:cs="Arial" w:eastAsia="Arial" w:hAnsi="Arial"/>
          <w:sz w:val="21"/>
          <w:szCs w:val="21"/>
        </w:rPr>
        <w:t xml:space="preserve">Currently Table IV-C only reports Phase 2 Min Loss and Test Accuracy. Adding the clustering-level ARI, NMI, and FMI for the HomGNN would allow a more complete comparison. If the HGNN achieves higher ARI at the clustering level (consistent with Table III's 0.7779) while HomGNN does not, the difference may be in the embedding quality rather than the classification head accuracy.</w:t>
      </w:r>
    </w:p>
    <w:p>
      <w:pPr>
        <w:spacing w:before="240" w:after="80"/>
      </w:pPr>
    </w:p>
    <w:p>
      <w:pPr>
        <w:pStyle w:val="Heading1"/>
        <w:spacing w:before="360" w:after="120"/>
      </w:pPr>
      <w:r>
        <w:rPr>
          <w:rFonts w:ascii="Arial" w:cs="Arial" w:eastAsia="Arial" w:hAnsi="Arial"/>
          <w:b/>
          <w:bCs/>
          <w:color w:val="1F3864"/>
          <w:sz w:val="28"/>
          <w:szCs w:val="28"/>
        </w:rPr>
        <w:t xml:space="preserve">4. Unannounced Methodological Changes Require Explanation</w:t>
      </w:r>
    </w:p>
    <w:p>
      <w:pPr>
        <w:spacing w:before="60" w:after="80"/>
      </w:pPr>
      <w:r>
        <w:rPr>
          <w:rFonts w:ascii="Arial" w:cs="Arial" w:eastAsia="Arial" w:hAnsi="Arial"/>
          <w:sz w:val="21"/>
          <w:szCs w:val="21"/>
        </w:rPr>
        <w:t xml:space="preserve">Comparing Table IV in the revised manuscript to Appendix C.3 (which was not updated and still reflects the prior setup), the reviewer notes three substantial changes to the experimental protocol that are not described or justified anywhere in the paper:</w:t>
      </w:r>
    </w:p>
    <w:p>
      <w:pPr>
        <w:spacing w:before="80" w:after="60"/>
      </w:pPr>
    </w:p>
    <w:p>
      <w:pPr>
        <w:pStyle w:val="Heading2"/>
        <w:spacing w:before="240" w:after="80"/>
      </w:pPr>
      <w:r>
        <w:rPr>
          <w:rFonts w:ascii="Arial" w:cs="Arial" w:eastAsia="Arial" w:hAnsi="Arial"/>
          <w:b/>
          <w:bCs/>
          <w:color w:val="2E5090"/>
          <w:sz w:val="24"/>
          <w:szCs w:val="24"/>
        </w:rPr>
        <w:t xml:space="preserve">4.1  Mini-Campaign Size: 30 Alerts → 10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70D" w:sz="14"/>
              <w:bottom w:val="none"/>
              <w:right w:val="none"/>
            </w:tcBorders>
            <w:shd w:fill="FEFBF0" w:val="clear"/>
            <w:tcMar>
              <w:top w:type="dxa" w:w="80"/>
              <w:left w:type="dxa" w:w="200"/>
              <w:bottom w:type="dxa" w:w="80"/>
              <w:right w:type="dxa" w:w="120"/>
            </w:tcMar>
          </w:tcPr>
          <w:p>
            <w:r>
              <w:rPr>
                <w:rFonts w:ascii="Arial" w:cs="Arial" w:eastAsia="Arial" w:hAnsi="Arial"/>
                <w:i/>
                <w:iCs/>
                <w:color w:val="7A5800"/>
                <w:sz w:val="20"/>
                <w:szCs w:val="20"/>
              </w:rPr>
              <w:t xml:space="preserve">“attack records are grouped into 1,955 mini-campaign graphs of 30 alerts each”</w:t>
            </w:r>
          </w:p>
          <w:p>
            <w:r>
              <w:rPr>
                <w:rFonts w:ascii="Arial" w:cs="Arial" w:eastAsia="Arial" w:hAnsi="Arial"/>
                <w:color w:val="888888"/>
                <w:sz w:val="18"/>
                <w:szCs w:val="18"/>
              </w:rPr>
              <w:t xml:space="preserve">— Appendix C.3 COMPARISON_REPORT.md (unchanged from Round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7E34" w:sz="14"/>
              <w:bottom w:val="none"/>
              <w:right w:val="none"/>
            </w:tcBorders>
            <w:shd w:fill="F2FDF4" w:val="clear"/>
            <w:tcMar>
              <w:top w:type="dxa" w:w="80"/>
              <w:left w:type="dxa" w:w="200"/>
              <w:bottom w:type="dxa" w:w="80"/>
              <w:right w:type="dxa" w:w="120"/>
            </w:tcMar>
          </w:tcPr>
          <w:p>
            <w:r>
              <w:rPr>
                <w:rFonts w:ascii="Arial" w:cs="Arial" w:eastAsia="Arial" w:hAnsi="Arial"/>
                <w:i/>
                <w:iCs/>
                <w:color w:val="1E5631"/>
                <w:sz w:val="20"/>
                <w:szCs w:val="20"/>
              </w:rPr>
              <w:t xml:space="preserve">“attack records are grouped into 9,547 mini-campaign graphs of 10 alerts each”</w:t>
            </w:r>
          </w:p>
          <w:p>
            <w:r>
              <w:rPr>
                <w:rFonts w:ascii="Arial" w:cs="Arial" w:eastAsia="Arial" w:hAnsi="Arial"/>
                <w:color w:val="888888"/>
                <w:sz w:val="18"/>
                <w:szCs w:val="18"/>
              </w:rPr>
              <w:t xml:space="preserve">— Section VI.B, Table IV narrative (revised Round 3)</w:t>
            </w:r>
          </w:p>
        </w:tc>
      </w:tr>
    </w:tbl>
    <w:p>
      <w:pPr>
        <w:spacing w:before="40" w:after="40"/>
      </w:pPr>
    </w:p>
    <w:p>
      <w:pPr>
        <w:spacing w:before="60" w:after="80"/>
      </w:pPr>
      <w:r>
        <w:rPr>
          <w:rFonts w:ascii="Arial" w:cs="Arial" w:eastAsia="Arial" w:hAnsi="Arial"/>
          <w:sz w:val="21"/>
          <w:szCs w:val="21"/>
        </w:rPr>
        <w:t xml:space="preserve">The mini-campaign size was halved from 30 to 10 alerts, producing a 4.9× increase in the number of training graphs (1,955 → 9,547). The test set expanded from 391 graphs to 2,387 graphs. This is a significant change to the graph construction methodology. Smaller mini-campaigns produce graphs with fewer nodes and sparser edge structures. If the earlier 86.45% result was obtained with 30-alert campaigns and the current 66.32% result with 10-alert campaigns, part of the performance difference may be attributable to this methodological change rather than to the bug fix alone. The paper must explicitly state: (a) the mini-campaign size used in each reported experiment, (b) whether this change was made as part of the bug fix or for other reasons, and (c) whether the change is justified.</w:t>
      </w:r>
    </w:p>
    <w:p>
      <w:pPr>
        <w:spacing w:before="80" w:after="60"/>
      </w:pPr>
    </w:p>
    <w:p>
      <w:pPr>
        <w:pStyle w:val="Heading2"/>
        <w:spacing w:before="240" w:after="80"/>
      </w:pPr>
      <w:r>
        <w:rPr>
          <w:rFonts w:ascii="Arial" w:cs="Arial" w:eastAsia="Arial" w:hAnsi="Arial"/>
          <w:b/>
          <w:bCs/>
          <w:color w:val="2E5090"/>
          <w:sz w:val="24"/>
          <w:szCs w:val="24"/>
        </w:rPr>
        <w:t xml:space="preserve">4.2  Training Epochs: Phase 1 Changed from 50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70D" w:sz="14"/>
              <w:bottom w:val="none"/>
              <w:right w:val="none"/>
            </w:tcBorders>
            <w:shd w:fill="FEFBF0" w:val="clear"/>
            <w:tcMar>
              <w:top w:type="dxa" w:w="80"/>
              <w:left w:type="dxa" w:w="200"/>
              <w:bottom w:type="dxa" w:w="80"/>
              <w:right w:type="dxa" w:w="120"/>
            </w:tcMar>
          </w:tcPr>
          <w:p>
            <w:r>
              <w:rPr>
                <w:rFonts w:ascii="Arial" w:cs="Arial" w:eastAsia="Arial" w:hAnsi="Arial"/>
                <w:i/>
                <w:iCs/>
                <w:color w:val="7A5800"/>
                <w:sz w:val="20"/>
                <w:szCs w:val="20"/>
              </w:rPr>
              <w:t xml:space="preserve">“Phase 1: Contrastive Pre-training | 50 epochs | Loss 3.30 → 2.30 | -30.3%”</w:t>
            </w:r>
          </w:p>
          <w:p>
            <w:r>
              <w:rPr>
                <w:rFonts w:ascii="Arial" w:cs="Arial" w:eastAsia="Arial" w:hAnsi="Arial"/>
                <w:color w:val="888888"/>
                <w:sz w:val="18"/>
                <w:szCs w:val="18"/>
              </w:rPr>
              <w:t xml:space="preserve">— Table IV, Round 1 and Round 2 manuscripts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7E34" w:sz="14"/>
              <w:bottom w:val="none"/>
              <w:right w:val="none"/>
            </w:tcBorders>
            <w:shd w:fill="F2FDF4" w:val="clear"/>
            <w:tcMar>
              <w:top w:type="dxa" w:w="80"/>
              <w:left w:type="dxa" w:w="200"/>
              <w:bottom w:type="dxa" w:w="80"/>
              <w:right w:type="dxa" w:w="120"/>
            </w:tcMar>
          </w:tcPr>
          <w:p>
            <w:r>
              <w:rPr>
                <w:rFonts w:ascii="Arial" w:cs="Arial" w:eastAsia="Arial" w:hAnsi="Arial"/>
                <w:i/>
                <w:iCs/>
                <w:color w:val="1E5631"/>
                <w:sz w:val="20"/>
                <w:szCs w:val="20"/>
              </w:rPr>
              <w:t xml:space="preserve">“Phase 1: Contrastive Pre-training | 20 epochs | Loss 0.8981 → 0.8921 | -0.006”</w:t>
            </w:r>
          </w:p>
          <w:p>
            <w:r>
              <w:rPr>
                <w:rFonts w:ascii="Arial" w:cs="Arial" w:eastAsia="Arial" w:hAnsi="Arial"/>
                <w:color w:val="888888"/>
                <w:sz w:val="18"/>
                <w:szCs w:val="18"/>
              </w:rPr>
              <w:t xml:space="preserve">— Table IV, Round 3 manuscript</w:t>
            </w:r>
          </w:p>
        </w:tc>
      </w:tr>
    </w:tbl>
    <w:p>
      <w:pPr>
        <w:spacing w:before="40" w:after="40"/>
      </w:pPr>
    </w:p>
    <w:p>
      <w:pPr>
        <w:spacing w:before="60" w:after="80"/>
      </w:pPr>
      <w:r>
        <w:rPr>
          <w:rFonts w:ascii="Arial" w:cs="Arial" w:eastAsia="Arial" w:hAnsi="Arial"/>
          <w:sz w:val="21"/>
          <w:szCs w:val="21"/>
        </w:rPr>
        <w:t xml:space="preserve">Phase 1 training epochs were reduced from 50 to 20, and the InfoNCE loss magnitude changed from the [3.30, 2.30] range to the [0.8981, 0.8921] range. The loss magnitude change may be explained by the graph size change (10-node vs 30-node graphs have different InfoNCE normalizations), but the epoch reduction requires justification. Was convergence achieved faster? Was this changed as part of the bug fix? The paper's reproducibility claim is compromised if the current implementation differs substantially from the one described in Table IV's original narrative.</w:t>
      </w:r>
    </w:p>
    <w:p>
      <w:pPr>
        <w:spacing w:before="80" w:after="60"/>
      </w:pPr>
    </w:p>
    <w:p>
      <w:pPr>
        <w:pStyle w:val="Heading2"/>
        <w:spacing w:before="240" w:after="80"/>
      </w:pPr>
      <w:r>
        <w:rPr>
          <w:rFonts w:ascii="Arial" w:cs="Arial" w:eastAsia="Arial" w:hAnsi="Arial"/>
          <w:b/>
          <w:bCs/>
          <w:color w:val="2E5090"/>
          <w:sz w:val="24"/>
          <w:szCs w:val="24"/>
        </w:rPr>
        <w:t xml:space="preserve">4.3  Evaluation Sample Changed: n=506 → n=495, Cluster Count: 9 → 10</w:t>
      </w:r>
    </w:p>
    <w:p>
      <w:pPr>
        <w:spacing w:before="60" w:after="80"/>
      </w:pPr>
      <w:r>
        <w:rPr>
          <w:rFonts w:ascii="Arial" w:cs="Arial" w:eastAsia="Arial" w:hAnsi="Arial"/>
          <w:sz w:val="21"/>
          <w:szCs w:val="21"/>
        </w:rPr>
        <w:t xml:space="preserve">Table III now reports n = 495 with 10 ground truth clusters. The prior submission used n = 506 with 9 ground truth clusters. The change from 9 to 10 clusters means a different stratified sample was drawn. This also means Appendix C, which shows 'Prepared 506 records, 9 ground truth clusters,' is inconsistent with Table III. The reviewer notes the baseline ARI values in Table III have changed substantially: K-Means went from ARI = 0.1012 to ARI = 0.3504, Hierarchical from 0.2453 to 0.3403. These are large changes (K-Means: 3.5× better). It is unclear whether these reflect the n/cluster change, a different preprocessing run, or something else. Appendix C should be updated to reflect the current experimental parameters.</w:t>
      </w:r>
    </w:p>
    <w:p>
      <w:pPr>
        <w:spacing w:before="240" w:after="80"/>
      </w:pPr>
    </w:p>
    <w:p>
      <w:pPr>
        <w:pStyle w:val="Heading1"/>
        <w:spacing w:before="360" w:after="120"/>
      </w:pPr>
      <w:r>
        <w:rPr>
          <w:rFonts w:ascii="Arial" w:cs="Arial" w:eastAsia="Arial" w:hAnsi="Arial"/>
          <w:b/>
          <w:bCs/>
          <w:color w:val="1F3864"/>
          <w:sz w:val="28"/>
          <w:szCs w:val="28"/>
        </w:rPr>
        <w:t xml:space="preserve">5. The Contrastive Pre-Training Claim Requires Complete Revision</w:t>
      </w:r>
    </w:p>
    <w:p>
      <w:pPr>
        <w:spacing w:before="60" w:after="80"/>
      </w:pPr>
      <w:r>
        <w:rPr>
          <w:rFonts w:ascii="Arial" w:cs="Arial" w:eastAsia="Arial" w:hAnsi="Arial"/>
          <w:sz w:val="21"/>
          <w:szCs w:val="21"/>
        </w:rPr>
        <w:t xml:space="preserve">The paper's second headline finding — stated as Contribution 2, cited in the abstract, Section VII.D, and the conclusion — is: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14"/>
              <w:bottom w:val="none"/>
              <w:right w:val="none"/>
            </w:tcBorders>
            <w:shd w:fill="FDF2F2" w:val="clear"/>
            <w:tcMar>
              <w:top w:type="dxa" w:w="80"/>
              <w:left w:type="dxa" w:w="200"/>
              <w:bottom w:type="dxa" w:w="80"/>
              <w:right w:type="dxa" w:w="120"/>
            </w:tcMar>
          </w:tcPr>
          <w:p>
            <w:r>
              <w:rPr>
                <w:rFonts w:ascii="Arial" w:cs="Arial" w:eastAsia="Arial" w:hAnsi="Arial"/>
                <w:i/>
                <w:iCs/>
                <w:color w:val="444444"/>
                <w:sz w:val="20"/>
                <w:szCs w:val="20"/>
              </w:rPr>
              <w:t xml:space="preserve">“Contrastive pre-training improves accuracy by 31.4 percentage points over supervised-only training.”</w:t>
            </w:r>
          </w:p>
          <w:p>
            <w:r>
              <w:rPr>
                <w:rFonts w:ascii="Arial" w:cs="Arial" w:eastAsia="Arial" w:hAnsi="Arial"/>
                <w:color w:val="888888"/>
                <w:sz w:val="18"/>
                <w:szCs w:val="18"/>
              </w:rPr>
              <w:t xml:space="preserve">— Abstract, Section VII.D, Section VIII Conclusion — all three locations, all unchanged</w:t>
            </w:r>
          </w:p>
        </w:tc>
      </w:tr>
    </w:tbl>
    <w:p>
      <w:pPr>
        <w:spacing w:before="40" w:after="40"/>
      </w:pPr>
    </w:p>
    <w:p>
      <w:pPr>
        <w:spacing w:before="60" w:after="80"/>
      </w:pPr>
      <w:r>
        <w:rPr>
          <w:rFonts w:ascii="Arial" w:cs="Arial" w:eastAsia="Arial" w:hAnsi="Arial"/>
          <w:sz w:val="21"/>
          <w:szCs w:val="21"/>
        </w:rPr>
        <w:t xml:space="preserve">Table IV in the revised manuscript now shows:</w:t>
      </w:r>
    </w:p>
    <w:p>
      <w:pPr>
        <w:pStyle w:val="ListParagraph"/>
        <w:numPr>
          <w:ilvl w:val="0"/>
          <w:numId w:val="2"/>
        </w:numPr>
        <w:spacing w:before="40" w:after="40"/>
      </w:pPr>
      <w:r>
        <w:rPr>
          <w:rFonts w:ascii="Arial" w:cs="Arial" w:eastAsia="Arial" w:hAnsi="Arial"/>
          <w:sz w:val="21"/>
          <w:szCs w:val="21"/>
        </w:rPr>
        <w:t xml:space="preserve">Phase 2 starts at 55% and ends at 66.3%, for an improvement of +11.3 pp (not +31.4 pp).</w:t>
      </w:r>
    </w:p>
    <w:p>
      <w:pPr>
        <w:pStyle w:val="ListParagraph"/>
        <w:numPr>
          <w:ilvl w:val="0"/>
          <w:numId w:val="2"/>
        </w:numPr>
        <w:spacing w:before="40" w:after="40"/>
      </w:pPr>
      <w:r>
        <w:rPr>
          <w:rFonts w:ascii="Arial" w:cs="Arial" w:eastAsia="Arial" w:hAnsi="Arial"/>
          <w:sz w:val="21"/>
          <w:szCs w:val="21"/>
        </w:rPr>
        <w:t xml:space="preserve">The 86.45% figure no longer appears in Table IV.</w:t>
      </w:r>
    </w:p>
    <w:p>
      <w:pPr>
        <w:pStyle w:val="ListParagraph"/>
        <w:numPr>
          <w:ilvl w:val="0"/>
          <w:numId w:val="2"/>
        </w:numPr>
        <w:spacing w:before="40" w:after="40"/>
      </w:pPr>
      <w:r>
        <w:rPr>
          <w:rFonts w:ascii="Arial" w:cs="Arial" w:eastAsia="Arial" w:hAnsi="Arial"/>
          <w:sz w:val="21"/>
          <w:szCs w:val="21"/>
        </w:rPr>
        <w:t xml:space="preserve">The ablation in Section VI.D (Finding 3) still cites '+31.4 pp' as the contrastive pre-training benefit.</w:t>
      </w:r>
    </w:p>
    <w:p>
      <w:pPr>
        <w:spacing w:before="40" w:after="40"/>
      </w:pPr>
    </w:p>
    <w:p>
      <w:pPr>
        <w:spacing w:before="60" w:after="80"/>
      </w:pPr>
      <w:r>
        <w:rPr>
          <w:rFonts w:ascii="Arial" w:cs="Arial" w:eastAsia="Arial" w:hAnsi="Arial"/>
          <w:sz w:val="21"/>
          <w:szCs w:val="21"/>
        </w:rPr>
        <w:t xml:space="preserve">One of two things is true: either (A) the contrastive pre-training benefit under the corrected pipeline is +11.3 pp (55% → 66.3%), in which case the abstract, Section VII.D, and the conclusion must all be corrected; or (B) the ablation was not re-run under the corrected pipeline and the +31.4 pp figure is still valid, in which case Table IV must be updated to show the full training trajectory that produces 86.45%. The paper cannot be in both states simultaneously. This ambiguity must be resolved.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DEDEC" w:val="clear"/>
            <w:tcMar>
              <w:top w:type="dxa" w:w="120"/>
              <w:left w:type="dxa" w:w="200"/>
              <w:bottom w:type="dxa" w:w="120"/>
              <w:right w:type="dxa" w:w="200"/>
            </w:tcMar>
          </w:tcPr>
          <w:p>
            <w:r>
              <w:rPr>
                <w:rFonts w:ascii="Arial" w:cs="Arial" w:eastAsia="Arial" w:hAnsi="Arial"/>
                <w:b/>
                <w:bCs/>
                <w:color w:val="922B21"/>
                <w:sz w:val="20"/>
                <w:szCs w:val="20"/>
              </w:rPr>
              <w:t xml:space="preserve">❌  The abstract claims +31.4 pp contrastive pre-training benefit. Table IV shows +11.3 pp. Both cannot be correct. This discrepancy must be resolved before acceptance.</w:t>
            </w:r>
          </w:p>
        </w:tc>
      </w:tr>
    </w:tbl>
    <w:p>
      <w:pPr>
        <w:spacing w:before="240" w:after="80"/>
      </w:pPr>
    </w:p>
    <w:p>
      <w:pPr>
        <w:pStyle w:val="Heading1"/>
        <w:spacing w:before="360" w:after="120"/>
      </w:pPr>
      <w:r>
        <w:rPr>
          <w:rFonts w:ascii="Arial" w:cs="Arial" w:eastAsia="Arial" w:hAnsi="Arial"/>
          <w:b/>
          <w:bCs/>
          <w:color w:val="1F3864"/>
          <w:sz w:val="28"/>
          <w:szCs w:val="28"/>
        </w:rPr>
        <w:t xml:space="preserve">6. Genuine Progress Credited in This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AF1" w:val="clear"/>
            <w:tcMar>
              <w:top w:type="dxa" w:w="120"/>
              <w:left w:type="dxa" w:w="200"/>
              <w:bottom w:type="dxa" w:w="120"/>
              <w:right w:type="dxa" w:w="200"/>
            </w:tcMar>
          </w:tcPr>
          <w:p>
            <w:r>
              <w:rPr>
                <w:rFonts w:ascii="Arial" w:cs="Arial" w:eastAsia="Arial" w:hAnsi="Arial"/>
                <w:b/>
                <w:bCs/>
                <w:color w:val="1E7E34"/>
                <w:sz w:val="20"/>
                <w:szCs w:val="20"/>
              </w:rPr>
              <w:t xml:space="preserve">✅  The following items were fully or substantially addressed and the reviewer credits them without reservation.</w:t>
            </w:r>
          </w:p>
        </w:tc>
      </w:tr>
    </w:tbl>
    <w:p>
      <w:pPr>
        <w:spacing w:before="80" w:after="60"/>
      </w:pPr>
    </w:p>
    <w:p>
      <w:pPr>
        <w:pStyle w:val="Heading2"/>
        <w:spacing w:before="240" w:after="80"/>
      </w:pPr>
      <w:r>
        <w:rPr>
          <w:rFonts w:ascii="Arial" w:cs="Arial" w:eastAsia="Arial" w:hAnsi="Arial"/>
          <w:b/>
          <w:bCs/>
          <w:color w:val="2E5090"/>
          <w:sz w:val="24"/>
          <w:szCs w:val="24"/>
        </w:rPr>
        <w:t xml:space="preserve">6.1  Hybrid UF+DBSCAN in Table III — Addressed</w:t>
      </w:r>
    </w:p>
    <w:p>
      <w:pPr>
        <w:spacing w:before="60" w:after="80"/>
      </w:pPr>
      <w:r>
        <w:rPr>
          <w:rFonts w:ascii="Arial" w:cs="Arial" w:eastAsia="Arial" w:hAnsi="Arial"/>
          <w:sz w:val="21"/>
          <w:szCs w:val="21"/>
        </w:rPr>
        <w:t xml:space="preserve">The hybrid method now appears as a row in Table III with measured ARI = -0.0112 and NMI = 0.0343. The authors' honest observation that this inherits the over-correlation pathology from the UF micro-clustering stage is a legitimate scientific finding. This is the correct way to report an experiment whose result is unflattering to the proposed contribution.</w:t>
      </w:r>
    </w:p>
    <w:p>
      <w:pPr>
        <w:spacing w:before="80" w:after="60"/>
      </w:pPr>
    </w:p>
    <w:p>
      <w:pPr>
        <w:pStyle w:val="Heading2"/>
        <w:spacing w:before="240" w:after="80"/>
      </w:pPr>
      <w:r>
        <w:rPr>
          <w:rFonts w:ascii="Arial" w:cs="Arial" w:eastAsia="Arial" w:hAnsi="Arial"/>
          <w:b/>
          <w:bCs/>
          <w:color w:val="2E5090"/>
          <w:sz w:val="24"/>
          <w:szCs w:val="24"/>
        </w:rPr>
        <w:t xml:space="preserve">6.2  NumPy Vectorization Acknowledged in Paper Text — Addressed</w:t>
      </w:r>
    </w:p>
    <w:p>
      <w:pPr>
        <w:spacing w:before="60" w:after="80"/>
      </w:pPr>
      <w:r>
        <w:rPr>
          <w:rFonts w:ascii="Arial" w:cs="Arial" w:eastAsia="Arial" w:hAnsi="Arial"/>
          <w:sz w:val="21"/>
          <w:szCs w:val="21"/>
        </w:rPr>
        <w:t xml:space="preserve">Section III.D now reads: 'The inner loop uses vectorized NumPy operations (broadcasting over address and hostname arrays) rather than interpreted Python field-by-field comparisons, reducing the constant factor.' The scalability table has been updated with new measurements (n=49→495). The paper no longer contradicts itself by claiming 'pure Python' while describing numpy vectorization. This resolves Round 2 Issue M4 for the text portion. The reviewer notes that further optimization (Numba, subnet blocking) remains as future work, which is appropriate.</w:t>
      </w:r>
    </w:p>
    <w:p>
      <w:pPr>
        <w:spacing w:before="80" w:after="60"/>
      </w:pPr>
    </w:p>
    <w:p>
      <w:pPr>
        <w:pStyle w:val="Heading2"/>
        <w:spacing w:before="240" w:after="80"/>
      </w:pPr>
      <w:r>
        <w:rPr>
          <w:rFonts w:ascii="Arial" w:cs="Arial" w:eastAsia="Arial" w:hAnsi="Arial"/>
          <w:b/>
          <w:bCs/>
          <w:color w:val="2E5090"/>
          <w:sz w:val="24"/>
          <w:szCs w:val="24"/>
        </w:rPr>
        <w:t xml:space="preserve">6.3  Tables IV-B and IV-C Added — Partially Addressed</w:t>
      </w:r>
    </w:p>
    <w:p>
      <w:pPr>
        <w:spacing w:before="60" w:after="80"/>
      </w:pPr>
      <w:r>
        <w:rPr>
          <w:rFonts w:ascii="Arial" w:cs="Arial" w:eastAsia="Arial" w:hAnsi="Arial"/>
          <w:sz w:val="21"/>
          <w:szCs w:val="21"/>
        </w:rPr>
        <w:t xml:space="preserve">These tables are genuinely new additions that respond to the multi-seed and homogeneous baseline requirements from Rounds 1–2. Their presence in the paper represents a major improvement over prior rounds. The zero-variance explanation for Table IV-B is consistent with the explanation already provided for Table VIII. The reviewer accepts the methodological soundness of this reasoning. The issue is not the tables themselves but the results they contain (see Sections 3 and 5 above).</w:t>
      </w:r>
    </w:p>
    <w:p>
      <w:pPr>
        <w:spacing w:before="80" w:after="60"/>
      </w:pPr>
    </w:p>
    <w:p>
      <w:pPr>
        <w:pStyle w:val="Heading2"/>
        <w:spacing w:before="240" w:after="80"/>
      </w:pPr>
      <w:r>
        <w:rPr>
          <w:rFonts w:ascii="Arial" w:cs="Arial" w:eastAsia="Arial" w:hAnsi="Arial"/>
          <w:b/>
          <w:bCs/>
          <w:color w:val="2E5090"/>
          <w:sz w:val="24"/>
          <w:szCs w:val="24"/>
        </w:rPr>
        <w:t xml:space="preserve">6.4  Section III.D Deployment Guidance — Consistently Applied</w:t>
      </w:r>
    </w:p>
    <w:p>
      <w:pPr>
        <w:spacing w:before="60" w:after="80"/>
      </w:pPr>
      <w:r>
        <w:rPr>
          <w:rFonts w:ascii="Arial" w:cs="Arial" w:eastAsia="Arial" w:hAnsi="Arial"/>
          <w:sz w:val="21"/>
          <w:szCs w:val="21"/>
        </w:rPr>
        <w:t xml:space="preserve">The recommendation to set w_temp = 0.0 for raw network captures is now stated in both the system architecture section and in the ablation discussion, with consistent framing. This is correctly done.</w:t>
      </w:r>
    </w:p>
    <w:p>
      <w:pPr>
        <w:spacing w:before="240" w:after="80"/>
      </w:pPr>
    </w:p>
    <w:p>
      <w:pPr>
        <w:pStyle w:val="Heading1"/>
        <w:spacing w:before="360" w:after="120"/>
      </w:pPr>
      <w:r>
        <w:rPr>
          <w:rFonts w:ascii="Arial" w:cs="Arial" w:eastAsia="Arial" w:hAnsi="Arial"/>
          <w:b/>
          <w:bCs/>
          <w:color w:val="1F3864"/>
          <w:sz w:val="28"/>
          <w:szCs w:val="28"/>
        </w:rPr>
        <w:t xml:space="preserve">7. Persistent Issues from Rounds 1–2 — Still Unresolved</w:t>
      </w:r>
    </w:p>
    <w:p>
      <w:pPr>
        <w:spacing w:before="60" w:after="80"/>
      </w:pPr>
      <w:r>
        <w:rPr>
          <w:rFonts w:ascii="Arial" w:cs="Arial" w:eastAsia="Arial" w:hAnsi="Arial"/>
          <w:sz w:val="21"/>
          <w:szCs w:val="21"/>
        </w:rPr>
        <w:t xml:space="preserve">The following issues have now been raised in every prior round without resolution. They are escalated here.</w:t>
      </w:r>
    </w:p>
    <w:p>
      <w:pPr>
        <w:spacing w:before="80" w:after="60"/>
      </w:pPr>
    </w:p>
    <w:p>
      <w:pPr>
        <w:pStyle w:val="Heading2"/>
        <w:spacing w:before="240" w:after="80"/>
      </w:pPr>
      <w:r>
        <w:rPr>
          <w:rFonts w:ascii="Arial" w:cs="Arial" w:eastAsia="Arial" w:hAnsi="Arial"/>
          <w:b/>
          <w:bCs/>
          <w:color w:val="2E5090"/>
          <w:sz w:val="24"/>
          <w:szCs w:val="24"/>
        </w:rPr>
        <w:t xml:space="preserve">7.1  Appendix B (Venue Targeting) — Not Removed [Third Request]</w:t>
      </w:r>
    </w:p>
    <w:p>
      <w:pPr>
        <w:spacing w:before="60" w:after="80"/>
      </w:pPr>
      <w:r>
        <w:rPr>
          <w:rFonts w:ascii="Arial" w:cs="Arial" w:eastAsia="Arial" w:hAnsi="Arial"/>
          <w:sz w:val="21"/>
          <w:szCs w:val="21"/>
        </w:rPr>
        <w:t xml:space="preserve">Appendix B 'Strategic Venue Targeting' including the table of venue fit scores and the Reviewer Checklist Compliance section is still present in the submitted manuscript. This appendix was identified in Round 1 (minor issue m8), Round 2 (Issue 4.5), and remains in Round 3. Specifically the checklist item '[x] Strong experimental design (7 baselines, 6 metrics, 5 experiments)' in the checklist is now inaccurate on its face — Table III shows 10 baselines and the experimental design changed. This appendix must be removed.</w:t>
      </w:r>
    </w:p>
    <w:p>
      <w:pPr>
        <w:spacing w:before="80" w:after="60"/>
      </w:pPr>
    </w:p>
    <w:p>
      <w:pPr>
        <w:pStyle w:val="Heading2"/>
        <w:spacing w:before="240" w:after="80"/>
      </w:pPr>
      <w:r>
        <w:rPr>
          <w:rFonts w:ascii="Arial" w:cs="Arial" w:eastAsia="Arial" w:hAnsi="Arial"/>
          <w:b/>
          <w:bCs/>
          <w:color w:val="2E5090"/>
          <w:sz w:val="24"/>
          <w:szCs w:val="24"/>
        </w:rPr>
        <w:t xml:space="preserve">7.2  Reference [16] Misattributed — Not Corrected [Third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14"/>
              <w:bottom w:val="none"/>
              <w:right w:val="none"/>
            </w:tcBorders>
            <w:shd w:fill="FDF2F2" w:val="clear"/>
            <w:tcMar>
              <w:top w:type="dxa" w:w="80"/>
              <w:left w:type="dxa" w:w="200"/>
              <w:bottom w:type="dxa" w:w="80"/>
              <w:right w:type="dxa" w:w="120"/>
            </w:tcMar>
          </w:tcPr>
          <w:p>
            <w:r>
              <w:rPr>
                <w:rFonts w:ascii="Arial" w:cs="Arial" w:eastAsia="Arial" w:hAnsi="Arial"/>
                <w:i/>
                <w:iCs/>
                <w:color w:val="444444"/>
                <w:sz w:val="20"/>
                <w:szCs w:val="20"/>
              </w:rPr>
              <w:t xml:space="preserve">“All results in this section are from experiments conducted on the publicly available UNSW-NB15 dataset [16]”</w:t>
            </w:r>
          </w:p>
          <w:p>
            <w:r>
              <w:rPr>
                <w:rFonts w:ascii="Arial" w:cs="Arial" w:eastAsia="Arial" w:hAnsi="Arial"/>
                <w:color w:val="888888"/>
                <w:sz w:val="18"/>
                <w:szCs w:val="18"/>
              </w:rPr>
              <w:t xml:space="preserve">— Section VI Results header — unchanged across all three rounds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392B" w:sz="14"/>
              <w:bottom w:val="none"/>
              <w:right w:val="none"/>
            </w:tcBorders>
            <w:shd w:fill="FDF2F2" w:val="clear"/>
            <w:tcMar>
              <w:top w:type="dxa" w:w="80"/>
              <w:left w:type="dxa" w:w="200"/>
              <w:bottom w:type="dxa" w:w="80"/>
              <w:right w:type="dxa" w:w="120"/>
            </w:tcMar>
          </w:tcPr>
          <w:p>
            <w:r>
              <w:rPr>
                <w:rFonts w:ascii="Arial" w:cs="Arial" w:eastAsia="Arial" w:hAnsi="Arial"/>
                <w:i/>
                <w:iCs/>
                <w:color w:val="444444"/>
                <w:sz w:val="20"/>
                <w:szCs w:val="20"/>
              </w:rPr>
              <w:t xml:space="preserve">“[16] M. Tavallaee, E. Bagheri, W. Lu, A. Ghorbani, 'A detailed analysis of the KDD CUP 99 data set,' IEEE CISDA, pp. 1-6, 2009.”</w:t>
            </w:r>
          </w:p>
          <w:p>
            <w:r>
              <w:rPr>
                <w:rFonts w:ascii="Arial" w:cs="Arial" w:eastAsia="Arial" w:hAnsi="Arial"/>
                <w:color w:val="888888"/>
                <w:sz w:val="18"/>
                <w:szCs w:val="18"/>
              </w:rPr>
              <w:t xml:space="preserve">— Reference list — unchanged across all three rounds</w:t>
            </w:r>
          </w:p>
        </w:tc>
      </w:tr>
    </w:tbl>
    <w:p>
      <w:pPr>
        <w:spacing w:before="40" w:after="40"/>
      </w:pPr>
    </w:p>
    <w:p>
      <w:pPr>
        <w:spacing w:before="60" w:after="80"/>
      </w:pPr>
      <w:r>
        <w:rPr>
          <w:rFonts w:ascii="Arial" w:cs="Arial" w:eastAsia="Arial" w:hAnsi="Arial"/>
          <w:sz w:val="21"/>
          <w:szCs w:val="21"/>
        </w:rPr>
        <w:t xml:space="preserve">Reference [16] is the NSL-KDD paper. The correct citation for UNSW-NB15 is [23] (Moustafa &amp; Slay, MilCIS 2015). This factual error has appeared in every version of the manuscript. Appendix C still reads 'Dataset: UNSW-NB15 (Tavallaee et al., 2009)' — which is wrong. Additionally, References [14] and [15] in the bibliography remain as MITRE ATT&amp;CK and Attack Flow, while Table II-A cites them as HAN and HGT architectures. The HAN (Wang et al., ICLR 2019) and HGT (Hu et al., KDD 2020) papers have still not been added to the reference list.</w:t>
      </w:r>
    </w:p>
    <w:p>
      <w:pPr>
        <w:spacing w:before="80" w:after="60"/>
      </w:pPr>
    </w:p>
    <w:p>
      <w:pPr>
        <w:pStyle w:val="Heading2"/>
        <w:spacing w:before="240" w:after="80"/>
      </w:pPr>
      <w:r>
        <w:rPr>
          <w:rFonts w:ascii="Arial" w:cs="Arial" w:eastAsia="Arial" w:hAnsi="Arial"/>
          <w:b/>
          <w:bCs/>
          <w:color w:val="2E5090"/>
          <w:sz w:val="24"/>
          <w:szCs w:val="24"/>
        </w:rPr>
        <w:t xml:space="preserve">7.3  Table VIII t = ∞ Values — Not Corrected [Third Request]</w:t>
      </w:r>
    </w:p>
    <w:p>
      <w:pPr>
        <w:spacing w:before="60" w:after="80"/>
      </w:pPr>
      <w:r>
        <w:rPr>
          <w:rFonts w:ascii="Arial" w:cs="Arial" w:eastAsia="Arial" w:hAnsi="Arial"/>
          <w:sz w:val="21"/>
          <w:szCs w:val="21"/>
        </w:rPr>
        <w:t xml:space="preserve">Table VIII still presents 't=inf, p&lt;0.001, significant=True' as formal statistical results. While the text correctly explains why the t-test is degenerate, presenting infinity as a test statistic value in a table is methodologically incorrect. The table should present Cohen's d as the operative statistic, not an infinite t-value. This has been raised in every round.</w:t>
      </w:r>
    </w:p>
    <w:p>
      <w:pPr>
        <w:spacing w:before="80" w:after="60"/>
      </w:pPr>
    </w:p>
    <w:p>
      <w:pPr>
        <w:pStyle w:val="Heading2"/>
        <w:spacing w:before="240" w:after="80"/>
      </w:pPr>
      <w:r>
        <w:rPr>
          <w:rFonts w:ascii="Arial" w:cs="Arial" w:eastAsia="Arial" w:hAnsi="Arial"/>
          <w:b/>
          <w:bCs/>
          <w:color w:val="2E5090"/>
          <w:sz w:val="24"/>
          <w:szCs w:val="24"/>
        </w:rPr>
        <w:t xml:space="preserve">7.4  Temperature Parameter Dual Notation — Not Clarified [Third Request]</w:t>
      </w:r>
    </w:p>
    <w:p>
      <w:pPr>
        <w:spacing w:before="60" w:after="80"/>
      </w:pPr>
      <w:r>
        <w:rPr>
          <w:rFonts w:ascii="Arial" w:cs="Arial" w:eastAsia="Arial" w:hAnsi="Arial"/>
          <w:sz w:val="21"/>
          <w:szCs w:val="21"/>
        </w:rPr>
        <w:t xml:space="preserve">Table V still labels the Optuna-optimized parameter as 'temperature (τ)' = 0.443. Section VI.B still refers to 'temperature scaling (T=0.443)' improving ECE. Whether τ (InfoNCE contrastive temperature) and T* (post-hoc calibration temperature) are the same parameter or coincidentally equal values has never been explained. This notation ambiguity persists across all three rounds.</w:t>
      </w:r>
    </w:p>
    <w:p>
      <w:pPr>
        <w:spacing w:before="240" w:after="80"/>
      </w:pPr>
    </w:p>
    <w:p>
      <w:pPr>
        <w:pStyle w:val="Heading1"/>
        <w:spacing w:before="360" w:after="120"/>
      </w:pPr>
      <w:r>
        <w:rPr>
          <w:rFonts w:ascii="Arial" w:cs="Arial" w:eastAsia="Arial" w:hAnsi="Arial"/>
          <w:b/>
          <w:bCs/>
          <w:color w:val="1F3864"/>
          <w:sz w:val="28"/>
          <w:szCs w:val="28"/>
        </w:rPr>
        <w:t xml:space="preserve">8. Complete Requirements for Round 4 Acceptance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1" w:val="clear"/>
            <w:tcMar>
              <w:top w:type="dxa" w:w="120"/>
              <w:left w:type="dxa" w:w="200"/>
              <w:bottom w:type="dxa" w:w="120"/>
              <w:right w:type="dxa" w:w="200"/>
            </w:tcMar>
          </w:tcPr>
          <w:p>
            <w:r>
              <w:rPr>
                <w:rFonts w:ascii="Arial" w:cs="Arial" w:eastAsia="Arial" w:hAnsi="Arial"/>
                <w:b/>
                <w:bCs/>
                <w:color w:val="7A5800"/>
                <w:sz w:val="20"/>
                <w:szCs w:val="20"/>
              </w:rPr>
              <w:t xml:space="preserve">⚠️  All CRITICAL items below are blocking. The paper cannot be accepted with any CRITICAL item outstanding.</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2000"/>
        <w:gridCol w:w="1000"/>
      </w:tblGrid>
      <w:tr>
        <w:tc>
          <w:tcPr>
            <w:tcW w:type="dxa" w:w="600"/>
            <w:tcBorders>
              <w:top w:val="single" w:color="AAAAAA" w:sz="1"/>
              <w:left w:val="single" w:color="AAAAAA" w:sz="1"/>
              <w:bottom w:val="single" w:color="AAAAAA" w:sz="1"/>
              <w:right w:val="single" w:color="AAAAAA" w:sz="1"/>
            </w:tcBorders>
            <w:shd w:fill="1F3864" w:val="clear"/>
            <w:tcMar>
              <w:top w:type="dxa" w:w="80"/>
              <w:left w:type="dxa" w:w="60"/>
              <w:bottom w:type="dxa" w:w="80"/>
              <w:right w:type="dxa" w:w="60"/>
            </w:tcMar>
          </w:tcPr>
          <w:p>
            <w:pPr>
              <w:jc w:val="center"/>
            </w:pPr>
            <w:r>
              <w:rPr>
                <w:rFonts w:ascii="Arial" w:cs="Arial" w:eastAsia="Arial" w:hAnsi="Arial"/>
                <w:b/>
                <w:bCs/>
                <w:color w:val="FFFFFF"/>
                <w:sz w:val="18"/>
                <w:szCs w:val="18"/>
              </w:rPr>
              <w:t xml:space="preserve">Req</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Required Action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Priority</w:t>
            </w:r>
          </w:p>
        </w:tc>
        <w:tc>
          <w:tcPr>
            <w:tcW w:type="dxa" w:w="1000"/>
            <w:tcBorders>
              <w:top w:val="single" w:color="AAAAAA" w:sz="1"/>
              <w:left w:val="single" w:color="AAAAAA" w:sz="1"/>
              <w:bottom w:val="single" w:color="AAAAAA" w:sz="1"/>
              <w:right w:val="single" w:color="AAAAAA" w:sz="1"/>
            </w:tcBorders>
            <w:shd w:fill="1F3864" w:val="clear"/>
            <w:tcMar>
              <w:top w:type="dxa" w:w="80"/>
              <w:left w:type="dxa" w:w="60"/>
              <w:bottom w:type="dxa" w:w="80"/>
              <w:right w:type="dxa" w:w="60"/>
            </w:tcMar>
          </w:tcPr>
          <w:p>
            <w:pPr>
              <w:jc w:val="center"/>
            </w:pPr>
            <w:r>
              <w:rPr>
                <w:rFonts w:ascii="Arial" w:cs="Arial" w:eastAsia="Arial" w:hAnsi="Arial"/>
                <w:b/>
                <w:bCs/>
                <w:color w:val="FFFFFF"/>
                <w:sz w:val="18"/>
                <w:szCs w:val="18"/>
              </w:rPr>
              <w:t xml:space="preserve">Type</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b/>
                <w:bCs/>
                <w:sz w:val="18"/>
                <w:szCs w:val="18"/>
              </w:rPr>
              <w:t xml:space="preserve">N1</w:t>
            </w:r>
          </w:p>
        </w:tc>
        <w:tc>
          <w:tcPr>
            <w:tcW w:type="dxa" w:w="57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sz w:val="18"/>
                <w:szCs w:val="18"/>
              </w:rPr>
              <w:t xml:space="preserve">Resolve the 86.45% vs 66.32% inconsistency: update ALL 9 flagged locations (abstract, Table III note, Section VI.B, Section VI.D ablation Finding 3, Section VII.D, Section VIII conclusion, Appendix C.3, Figure 5 caption, and the Optuna Checklist in Appendix B if retained) to show the same corrected accuracy figure throughout the paper.</w:t>
            </w:r>
          </w:p>
        </w:tc>
        <w:tc>
          <w:tcPr>
            <w:tcW w:type="dxa" w:w="2000"/>
            <w:tcBorders>
              <w:top w:val="single" w:color="AAAAAA" w:sz="1"/>
              <w:left w:val="single" w:color="AAAAAA" w:sz="1"/>
              <w:bottom w:val="single" w:color="AAAAAA" w:sz="1"/>
              <w:right w:val="single" w:color="AAAAAA" w:sz="1"/>
            </w:tcBorders>
            <w:shd w:fill="F5F7FA" w:val="clear"/>
            <w:tcMar>
              <w:top w:type="dxa" w:w="80"/>
              <w:left w:type="dxa" w:w="80"/>
              <w:bottom w:type="dxa" w:w="80"/>
              <w:right w:type="dxa" w:w="80"/>
            </w:tcMar>
          </w:tcPr>
          <w:p>
            <w:pPr>
              <w:jc w:val="center"/>
            </w:pPr>
            <w:r>
              <w:rPr>
                <w:rFonts w:ascii="Arial" w:cs="Arial" w:eastAsia="Arial" w:hAnsi="Arial"/>
                <w:b/>
                <w:bCs/>
                <w:color w:val="922B21"/>
                <w:sz w:val="18"/>
                <w:szCs w:val="18"/>
              </w:rPr>
              <w:t xml:space="preserve">CRITICAL</w:t>
            </w:r>
          </w:p>
        </w:tc>
        <w:tc>
          <w:tcPr>
            <w:tcW w:type="dxa" w:w="10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color w:val="922B21"/>
                <w:sz w:val="18"/>
                <w:szCs w:val="18"/>
              </w:rPr>
              <w:t xml:space="preserve">New</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bCs/>
                <w:sz w:val="18"/>
                <w:szCs w:val="18"/>
              </w:rPr>
              <w:t xml:space="preserve">N2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18"/>
                <w:szCs w:val="18"/>
              </w:rPr>
              <w:t xml:space="preserve">Disclose the bug in the main body (1-2 sentences in Section VII.H Limitations or Section V.E Reproducibility): state the nature of the label-mapping mismatch and confirm whether the HGNN clustering ARI = 0.7779 was produced before or after the fix.</w:t>
            </w:r>
          </w:p>
        </w:tc>
        <w:tc>
          <w:tcPr>
            <w:tcW w:type="dxa" w:w="20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b/>
                <w:bCs/>
                <w:color w:val="922B21"/>
                <w:sz w:val="18"/>
                <w:szCs w:val="18"/>
              </w:rPr>
              <w:t xml:space="preserve">CRITICAL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color w:val="922B21"/>
                <w:sz w:val="18"/>
                <w:szCs w:val="18"/>
              </w:rPr>
              <w:t xml:space="preserve">New</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b/>
                <w:bCs/>
                <w:sz w:val="18"/>
                <w:szCs w:val="18"/>
              </w:rPr>
              <w:t xml:space="preserve">N3</w:t>
            </w:r>
          </w:p>
        </w:tc>
        <w:tc>
          <w:tcPr>
            <w:tcW w:type="dxa" w:w="57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sz w:val="18"/>
                <w:szCs w:val="18"/>
              </w:rPr>
              <w:t xml:space="preserve">Resolve the contrastive pre-training benefit: state clearly whether the corrected benefit is +11.3 pp (as Table IV implies) or +31.4 pp (as the abstract and body text claim). Update all claims to reflect the correct figure consistently.</w:t>
            </w:r>
          </w:p>
        </w:tc>
        <w:tc>
          <w:tcPr>
            <w:tcW w:type="dxa" w:w="2000"/>
            <w:tcBorders>
              <w:top w:val="single" w:color="AAAAAA" w:sz="1"/>
              <w:left w:val="single" w:color="AAAAAA" w:sz="1"/>
              <w:bottom w:val="single" w:color="AAAAAA" w:sz="1"/>
              <w:right w:val="single" w:color="AAAAAA" w:sz="1"/>
            </w:tcBorders>
            <w:shd w:fill="F5F7FA" w:val="clear"/>
            <w:tcMar>
              <w:top w:type="dxa" w:w="80"/>
              <w:left w:type="dxa" w:w="80"/>
              <w:bottom w:type="dxa" w:w="80"/>
              <w:right w:type="dxa" w:w="80"/>
            </w:tcMar>
          </w:tcPr>
          <w:p>
            <w:pPr>
              <w:jc w:val="center"/>
            </w:pPr>
            <w:r>
              <w:rPr>
                <w:rFonts w:ascii="Arial" w:cs="Arial" w:eastAsia="Arial" w:hAnsi="Arial"/>
                <w:b/>
                <w:bCs/>
                <w:color w:val="922B21"/>
                <w:sz w:val="18"/>
                <w:szCs w:val="18"/>
              </w:rPr>
              <w:t xml:space="preserve">CRITICAL</w:t>
            </w:r>
          </w:p>
        </w:tc>
        <w:tc>
          <w:tcPr>
            <w:tcW w:type="dxa" w:w="10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color w:val="922B21"/>
                <w:sz w:val="18"/>
                <w:szCs w:val="18"/>
              </w:rPr>
              <w:t xml:space="preserve">New</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bCs/>
                <w:sz w:val="18"/>
                <w:szCs w:val="18"/>
              </w:rPr>
              <w:t xml:space="preserve">N4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18"/>
                <w:szCs w:val="18"/>
              </w:rPr>
              <w:t xml:space="preserve">Respond to the HGNN = HomGNN parity finding via one of the three paths described in Section 3.2: (A) investigate edge-type contribution and report quantitatively; (B) reframe heterogeneous schema as architectural extensibility rather than accuracy advantage; or (C) add clustering-level ARI for HomGNN to Table IV-C. Revise Section I.B and Table I to reflect the updated position.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b/>
                <w:bCs/>
                <w:color w:val="922B21"/>
                <w:sz w:val="18"/>
                <w:szCs w:val="18"/>
              </w:rPr>
              <w:t xml:space="preserve">CRITICAL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color w:val="922B21"/>
                <w:sz w:val="18"/>
                <w:szCs w:val="18"/>
              </w:rPr>
              <w:t xml:space="preserve">New</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b/>
                <w:bCs/>
                <w:sz w:val="18"/>
                <w:szCs w:val="18"/>
              </w:rPr>
              <w:t xml:space="preserve">N5</w:t>
            </w:r>
          </w:p>
        </w:tc>
        <w:tc>
          <w:tcPr>
            <w:tcW w:type="dxa" w:w="57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sz w:val="18"/>
                <w:szCs w:val="18"/>
              </w:rPr>
              <w:t xml:space="preserve">Explain and justify the three unannounced methodological changes: (a) mini-campaign size 30→10 alerts, (b) Phase 1 epochs 50→20, (c) evaluation sample n=506→n=495 with 9→10 clusters. State explicitly whether the bug fix required these changes or whether they are independent decisions.</w:t>
            </w:r>
          </w:p>
        </w:tc>
        <w:tc>
          <w:tcPr>
            <w:tcW w:type="dxa" w:w="2000"/>
            <w:tcBorders>
              <w:top w:val="single" w:color="AAAAAA" w:sz="1"/>
              <w:left w:val="single" w:color="AAAAAA" w:sz="1"/>
              <w:bottom w:val="single" w:color="AAAAAA" w:sz="1"/>
              <w:right w:val="single" w:color="AAAAAA" w:sz="1"/>
            </w:tcBorders>
            <w:shd w:fill="F5F7FA" w:val="clear"/>
            <w:tcMar>
              <w:top w:type="dxa" w:w="80"/>
              <w:left w:type="dxa" w:w="80"/>
              <w:bottom w:type="dxa" w:w="80"/>
              <w:right w:type="dxa" w:w="80"/>
            </w:tcMar>
          </w:tcPr>
          <w:p>
            <w:pPr>
              <w:jc w:val="center"/>
            </w:pPr>
            <w:r>
              <w:rPr>
                <w:rFonts w:ascii="Arial" w:cs="Arial" w:eastAsia="Arial" w:hAnsi="Arial"/>
                <w:b/>
                <w:bCs/>
                <w:color w:val="922B21"/>
                <w:sz w:val="18"/>
                <w:szCs w:val="18"/>
              </w:rPr>
              <w:t xml:space="preserve">CRITICAL</w:t>
            </w:r>
          </w:p>
        </w:tc>
        <w:tc>
          <w:tcPr>
            <w:tcW w:type="dxa" w:w="10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color w:val="922B21"/>
                <w:sz w:val="18"/>
                <w:szCs w:val="18"/>
              </w:rPr>
              <w:t xml:space="preserve">New</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bCs/>
                <w:sz w:val="18"/>
                <w:szCs w:val="18"/>
              </w:rPr>
              <w:t xml:space="preserve">N6</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18"/>
                <w:szCs w:val="18"/>
              </w:rPr>
              <w:t xml:space="preserve">Confirm whether Optuna hyperparameter search was re-run after the bug fix, or whether Table V hyperparameters were selected under the buggy pipeline.</w:t>
            </w:r>
          </w:p>
        </w:tc>
        <w:tc>
          <w:tcPr>
            <w:tcW w:type="dxa" w:w="20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b/>
                <w:bCs/>
                <w:color w:val="922B21"/>
                <w:sz w:val="18"/>
                <w:szCs w:val="18"/>
              </w:rPr>
              <w:t xml:space="preserve">CRITICAL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color w:val="922B21"/>
                <w:sz w:val="18"/>
                <w:szCs w:val="18"/>
              </w:rPr>
              <w:t xml:space="preserve">New</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b/>
                <w:bCs/>
                <w:sz w:val="18"/>
                <w:szCs w:val="18"/>
              </w:rPr>
              <w:t xml:space="preserve">R7</w:t>
            </w:r>
          </w:p>
        </w:tc>
        <w:tc>
          <w:tcPr>
            <w:tcW w:type="dxa" w:w="57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sz w:val="18"/>
                <w:szCs w:val="18"/>
              </w:rPr>
              <w:t xml:space="preserve">Add missing bibliography entries for HAN (Wang et al., ICLR 2019) and HGT (Hu et al., KDD 2020); correct in-text citations [14] and [15] in Table II-A; change all in-text [16] citations for UNSW-NB15 to [23].</w:t>
            </w:r>
          </w:p>
        </w:tc>
        <w:tc>
          <w:tcPr>
            <w:tcW w:type="dxa" w:w="2000"/>
            <w:tcBorders>
              <w:top w:val="single" w:color="AAAAAA" w:sz="1"/>
              <w:left w:val="single" w:color="AAAAAA" w:sz="1"/>
              <w:bottom w:val="single" w:color="AAAAAA" w:sz="1"/>
              <w:right w:val="single" w:color="AAAAAA" w:sz="1"/>
            </w:tcBorders>
            <w:shd w:fill="F5F7FA" w:val="clear"/>
            <w:tcMar>
              <w:top w:type="dxa" w:w="80"/>
              <w:left w:type="dxa" w:w="80"/>
              <w:bottom w:type="dxa" w:w="80"/>
              <w:right w:type="dxa" w:w="80"/>
            </w:tcMar>
          </w:tcPr>
          <w:p>
            <w:pPr>
              <w:jc w:val="center"/>
            </w:pPr>
            <w:r>
              <w:rPr>
                <w:rFonts w:ascii="Arial" w:cs="Arial" w:eastAsia="Arial" w:hAnsi="Arial"/>
                <w:b/>
                <w:bCs/>
                <w:color w:val="7A5800"/>
                <w:sz w:val="18"/>
                <w:szCs w:val="18"/>
              </w:rPr>
              <w:t xml:space="preserve">High</w:t>
            </w:r>
          </w:p>
        </w:tc>
        <w:tc>
          <w:tcPr>
            <w:tcW w:type="dxa" w:w="10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color w:val="555555"/>
                <w:sz w:val="18"/>
                <w:szCs w:val="18"/>
              </w:rPr>
              <w:t xml:space="preserve">Persistent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bCs/>
                <w:sz w:val="18"/>
                <w:szCs w:val="18"/>
              </w:rPr>
              <w:t xml:space="preserve">R8</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18"/>
                <w:szCs w:val="18"/>
              </w:rPr>
              <w:t xml:space="preserve">Replace t = ∞ values in Table VIII with Cohen's d as the primary reported statistic.</w:t>
            </w:r>
          </w:p>
        </w:tc>
        <w:tc>
          <w:tcPr>
            <w:tcW w:type="dxa" w:w="20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b/>
                <w:bCs/>
                <w:color w:val="7A5800"/>
                <w:sz w:val="18"/>
                <w:szCs w:val="18"/>
              </w:rPr>
              <w:t xml:space="preserve">High</w:t>
            </w:r>
          </w:p>
        </w:tc>
        <w:tc>
          <w:tcPr>
            <w:tcW w:type="dxa" w:w="10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color w:val="555555"/>
                <w:sz w:val="18"/>
                <w:szCs w:val="18"/>
              </w:rPr>
              <w:t xml:space="preserve">Persistent</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b/>
                <w:bCs/>
                <w:sz w:val="18"/>
                <w:szCs w:val="18"/>
              </w:rPr>
              <w:t xml:space="preserve">R9</w:t>
            </w:r>
          </w:p>
        </w:tc>
        <w:tc>
          <w:tcPr>
            <w:tcW w:type="dxa" w:w="57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sz w:val="18"/>
                <w:szCs w:val="18"/>
              </w:rPr>
              <w:t xml:space="preserve">Clarify temperature parameter notation: distinguish τ (InfoNCE) from T* (calibration) or explicitly justify that they are the same parameter.</w:t>
            </w:r>
          </w:p>
        </w:tc>
        <w:tc>
          <w:tcPr>
            <w:tcW w:type="dxa" w:w="2000"/>
            <w:tcBorders>
              <w:top w:val="single" w:color="AAAAAA" w:sz="1"/>
              <w:left w:val="single" w:color="AAAAAA" w:sz="1"/>
              <w:bottom w:val="single" w:color="AAAAAA" w:sz="1"/>
              <w:right w:val="single" w:color="AAAAAA" w:sz="1"/>
            </w:tcBorders>
            <w:shd w:fill="F5F7FA" w:val="clear"/>
            <w:tcMar>
              <w:top w:type="dxa" w:w="80"/>
              <w:left w:type="dxa" w:w="80"/>
              <w:bottom w:type="dxa" w:w="80"/>
              <w:right w:type="dxa" w:w="80"/>
            </w:tcMar>
          </w:tcPr>
          <w:p>
            <w:pPr>
              <w:jc w:val="center"/>
            </w:pPr>
            <w:r>
              <w:rPr>
                <w:rFonts w:ascii="Arial" w:cs="Arial" w:eastAsia="Arial" w:hAnsi="Arial"/>
                <w:b/>
                <w:bCs/>
                <w:color w:val="7A5800"/>
                <w:sz w:val="18"/>
                <w:szCs w:val="18"/>
              </w:rPr>
              <w:t xml:space="preserve">High</w:t>
            </w:r>
          </w:p>
        </w:tc>
        <w:tc>
          <w:tcPr>
            <w:tcW w:type="dxa" w:w="10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color w:val="555555"/>
                <w:sz w:val="18"/>
                <w:szCs w:val="18"/>
              </w:rPr>
              <w:t xml:space="preserve">Persistent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bCs/>
                <w:sz w:val="18"/>
                <w:szCs w:val="18"/>
              </w:rPr>
              <w:t xml:space="preserve">R10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18"/>
                <w:szCs w:val="18"/>
              </w:rPr>
              <w:t xml:space="preserve">Remove Appendix B (Strategic Venue Targeting) entirely.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b/>
                <w:bCs/>
                <w:color w:val="7A5800"/>
                <w:sz w:val="18"/>
                <w:szCs w:val="18"/>
              </w:rPr>
              <w:t xml:space="preserve">High</w:t>
            </w:r>
          </w:p>
        </w:tc>
        <w:tc>
          <w:tcPr>
            <w:tcW w:type="dxa" w:w="10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color w:val="555555"/>
                <w:sz w:val="18"/>
                <w:szCs w:val="18"/>
              </w:rPr>
              <w:t xml:space="preserve">Persistent</w:t>
            </w:r>
          </w:p>
        </w:tc>
      </w:tr>
      <w:tr>
        <w:tc>
          <w:tcPr>
            <w:tcW w:type="dxa" w:w="6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b/>
                <w:bCs/>
                <w:sz w:val="18"/>
                <w:szCs w:val="18"/>
              </w:rPr>
              <w:t xml:space="preserve">R11</w:t>
            </w:r>
          </w:p>
        </w:tc>
        <w:tc>
          <w:tcPr>
            <w:tcW w:type="dxa" w:w="576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80"/>
            </w:tcMar>
          </w:tcPr>
          <w:p>
            <w:r>
              <w:rPr>
                <w:rFonts w:ascii="Arial" w:cs="Arial" w:eastAsia="Arial" w:hAnsi="Arial"/>
                <w:sz w:val="18"/>
                <w:szCs w:val="18"/>
              </w:rPr>
              <w:t xml:space="preserve">Update Appendix C to reflect the corrected training parameters (mini-campaign size 10, 20 Phase 1 epochs, 2,387 test graphs, 66.32% accuracy).</w:t>
            </w:r>
          </w:p>
        </w:tc>
        <w:tc>
          <w:tcPr>
            <w:tcW w:type="dxa" w:w="2000"/>
            <w:tcBorders>
              <w:top w:val="single" w:color="AAAAAA" w:sz="1"/>
              <w:left w:val="single" w:color="AAAAAA" w:sz="1"/>
              <w:bottom w:val="single" w:color="AAAAAA" w:sz="1"/>
              <w:right w:val="single" w:color="AAAAAA" w:sz="1"/>
            </w:tcBorders>
            <w:shd w:fill="F5F7FA" w:val="clear"/>
            <w:tcMar>
              <w:top w:type="dxa" w:w="80"/>
              <w:left w:type="dxa" w:w="80"/>
              <w:bottom w:type="dxa" w:w="80"/>
              <w:right w:type="dxa" w:w="80"/>
            </w:tcMar>
          </w:tcPr>
          <w:p>
            <w:pPr>
              <w:jc w:val="center"/>
            </w:pPr>
            <w:r>
              <w:rPr>
                <w:rFonts w:ascii="Arial" w:cs="Arial" w:eastAsia="Arial" w:hAnsi="Arial"/>
                <w:b/>
                <w:bCs/>
                <w:color w:val="7A5800"/>
                <w:sz w:val="18"/>
                <w:szCs w:val="18"/>
              </w:rPr>
              <w:t xml:space="preserve">High</w:t>
            </w:r>
          </w:p>
        </w:tc>
        <w:tc>
          <w:tcPr>
            <w:tcW w:type="dxa" w:w="1000"/>
            <w:tcBorders>
              <w:top w:val="single" w:color="AAAAAA" w:sz="1"/>
              <w:left w:val="single" w:color="AAAAAA" w:sz="1"/>
              <w:bottom w:val="single" w:color="AAAAAA" w:sz="1"/>
              <w:right w:val="single" w:color="AAAAAA" w:sz="1"/>
            </w:tcBorders>
            <w:shd w:fill="F5F7FA" w:val="clear"/>
            <w:tcMar>
              <w:top w:type="dxa" w:w="80"/>
              <w:left w:type="dxa" w:w="60"/>
              <w:bottom w:type="dxa" w:w="80"/>
              <w:right w:type="dxa" w:w="60"/>
            </w:tcMar>
          </w:tcPr>
          <w:p>
            <w:pPr>
              <w:jc w:val="center"/>
            </w:pPr>
            <w:r>
              <w:rPr>
                <w:rFonts w:ascii="Arial" w:cs="Arial" w:eastAsia="Arial" w:hAnsi="Arial"/>
                <w:color w:val="922B21"/>
                <w:sz w:val="18"/>
                <w:szCs w:val="18"/>
              </w:rPr>
              <w:t xml:space="preserve">New</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bCs/>
                <w:sz w:val="18"/>
                <w:szCs w:val="18"/>
              </w:rPr>
              <w:t xml:space="preserve">R12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18"/>
                <w:szCs w:val="18"/>
              </w:rPr>
              <w:t xml:space="preserve">Resolve the Section VI.G contradiction: Key Insight callout still says 'confirming architectural extensibility.' Zero-shot ARI = 0.000 does not confirm extensibility; it confirms schema compatibility only.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b/>
                <w:bCs/>
                <w:color w:val="1A5276"/>
                <w:sz w:val="18"/>
                <w:szCs w:val="18"/>
              </w:rPr>
              <w:t xml:space="preserve">Moderate</w:t>
            </w:r>
          </w:p>
        </w:tc>
        <w:tc>
          <w:tcPr>
            <w:tcW w:type="dxa" w:w="100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color w:val="555555"/>
                <w:sz w:val="18"/>
                <w:szCs w:val="18"/>
              </w:rPr>
              <w:t xml:space="preserve">Persistent</w:t>
            </w:r>
          </w:p>
        </w:tc>
      </w:tr>
    </w:tbl>
    <w:p>
      <w:pPr>
        <w:spacing w:before="240" w:after="80"/>
      </w:pPr>
    </w:p>
    <w:p>
      <w:pPr>
        <w:pStyle w:val="Heading1"/>
        <w:spacing w:before="360" w:after="120"/>
      </w:pPr>
      <w:r>
        <w:rPr>
          <w:rFonts w:ascii="Arial" w:cs="Arial" w:eastAsia="Arial" w:hAnsi="Arial"/>
          <w:b/>
          <w:bCs/>
          <w:color w:val="1F3864"/>
          <w:sz w:val="28"/>
          <w:szCs w:val="28"/>
        </w:rPr>
        <w:t xml:space="preserve">9. Holistic Assessment and Path Forward</w:t>
      </w:r>
    </w:p>
    <w:p>
      <w:pPr>
        <w:pStyle w:val="Heading2"/>
        <w:spacing w:before="240" w:after="80"/>
      </w:pPr>
      <w:r>
        <w:rPr>
          <w:rFonts w:ascii="Arial" w:cs="Arial" w:eastAsia="Arial" w:hAnsi="Arial"/>
          <w:b/>
          <w:bCs/>
          <w:color w:val="2E5090"/>
          <w:sz w:val="24"/>
          <w:szCs w:val="24"/>
        </w:rPr>
        <w:t xml:space="preserve">9.1  What This Revision Tells Us About the System</w:t>
      </w:r>
    </w:p>
    <w:p>
      <w:pPr>
        <w:spacing w:before="60" w:after="80"/>
      </w:pPr>
      <w:r>
        <w:rPr>
          <w:rFonts w:ascii="Arial" w:cs="Arial" w:eastAsia="Arial" w:hAnsi="Arial"/>
          <w:sz w:val="21"/>
          <w:szCs w:val="21"/>
        </w:rPr>
        <w:t xml:space="preserve">Setting aside the consistency problems, the Round 3 results collectively tell a coherent and interesting story that is actually publishable — provided it is told accurately. Under the corrected pipeline on UNSW-NB15, the HGNN achieves 66.32% campaign classification accuracy with perfect reproducibility across seeds. It still achieves ARI = 0.7779 at the clustering level (if this figure survived the bug fix), dramatically outperforming all clustering baselines. The hybrid method and the temporal over-correlation finding are genuine contributions. The threshold sensitivity analysis is interesting and original.</w:t>
      </w:r>
    </w:p>
    <w:p>
      <w:pPr>
        <w:spacing w:before="40" w:after="40"/>
      </w:pPr>
    </w:p>
    <w:p>
      <w:pPr>
        <w:spacing w:before="60" w:after="80"/>
      </w:pPr>
      <w:r>
        <w:rPr>
          <w:rFonts w:ascii="Arial" w:cs="Arial" w:eastAsia="Arial" w:hAnsi="Arial"/>
          <w:sz w:val="21"/>
          <w:szCs w:val="21"/>
        </w:rPr>
        <w:t xml:space="preserve">The story that cannot be told honestly any longer is: 'heterogeneous GNN architectures outperform homogeneous ones on this dataset by a large margin.' The experiment shows they perform identically in accuracy on UNSW-NB15. That is itself an interesting and publishable finding — it likely means the derived entity structure on this dataset is too sparse or too artificial to allow the multi-relational attention to learn differently from a homogeneous model.</w:t>
      </w:r>
    </w:p>
    <w:p>
      <w:pPr>
        <w:spacing w:before="80" w:after="60"/>
      </w:pPr>
    </w:p>
    <w:p>
      <w:pPr>
        <w:pStyle w:val="Heading2"/>
        <w:spacing w:before="240" w:after="80"/>
      </w:pPr>
      <w:r>
        <w:rPr>
          <w:rFonts w:ascii="Arial" w:cs="Arial" w:eastAsia="Arial" w:hAnsi="Arial"/>
          <w:b/>
          <w:bCs/>
          <w:color w:val="2E5090"/>
          <w:sz w:val="24"/>
          <w:szCs w:val="24"/>
        </w:rPr>
        <w:t xml:space="preserve">9.2  Realistic Timeline</w:t>
      </w:r>
    </w:p>
    <w:p>
      <w:pPr>
        <w:spacing w:before="60" w:after="80"/>
      </w:pPr>
      <w:r>
        <w:rPr>
          <w:rFonts w:ascii="Arial" w:cs="Arial" w:eastAsia="Arial" w:hAnsi="Arial"/>
          <w:sz w:val="21"/>
          <w:szCs w:val="21"/>
        </w:rPr>
        <w:t xml:space="preserve">The reviewer estimates that N1, R7, R8, R9, R10, R11, R12 are mechanical text corrections requiring 1–2 days. N3 requires a single clarifying paragraph and an ablation experiment to confirm whether the contrastive benefit persists under the corrected pipeline. N4 requires 3–5 days of targeted analysis. N2, N5, N6 are transparency disclosures requiring 1 day. Total estimated effort: 2–3 weeks for a focused revision. If the corrected ARI figure for the HGNN clustering (required for N1) requires re-running the evaluation with the fixed model, that may add a few days.</w:t>
      </w:r>
    </w:p>
    <w:p>
      <w:pPr>
        <w:spacing w:before="80" w:after="60"/>
      </w:pPr>
    </w:p>
    <w:p>
      <w:pPr>
        <w:pStyle w:val="Heading2"/>
        <w:spacing w:before="240" w:after="80"/>
      </w:pPr>
      <w:r>
        <w:rPr>
          <w:rFonts w:ascii="Arial" w:cs="Arial" w:eastAsia="Arial" w:hAnsi="Arial"/>
          <w:b/>
          <w:bCs/>
          <w:color w:val="2E5090"/>
          <w:sz w:val="24"/>
          <w:szCs w:val="24"/>
        </w:rPr>
        <w:t xml:space="preserve">9.3  Closing Remarks</w:t>
      </w:r>
    </w:p>
    <w:p>
      <w:pPr>
        <w:spacing w:before="60" w:after="80"/>
      </w:pPr>
      <w:r>
        <w:rPr>
          <w:rFonts w:ascii="Arial" w:cs="Arial" w:eastAsia="Arial" w:hAnsi="Arial"/>
          <w:sz w:val="21"/>
          <w:szCs w:val="21"/>
        </w:rPr>
        <w:t xml:space="preserve">The reviewer has consistently held the position that this paper's core contributions — the hybrid transitivity architecture, the temporal over-correlation finding, and the threshold sensitivity analysis — are genuine and relevant to the T-IFS community. The goal of this review is to ensure those contributions are reported with the accuracy and consistency that the journal requires. Discovering and disclosing a training pipeline bug is the right thing to do scientifically. The next step is to propagate that disclosure through the manuscript so that every number the reader encounters is the number that came from the corrected pipeline.</w:t>
      </w:r>
    </w:p>
    <w:p>
      <w:pPr>
        <w:spacing w:before="120" w:after="60"/>
      </w:pPr>
    </w:p>
    <w:p>
      <w:pPr>
        <w:pBdr>
          <w:bottom w:val="single" w:color="CCCCCC" w:sz="4" w:space="1"/>
        </w:pBdr>
        <w:spacing w:before="120" w:after="120"/>
      </w:pPr>
    </w:p>
    <w:p>
      <w:pPr>
        <w:spacing w:before="120" w:after="40"/>
        <w:jc w:val="center"/>
      </w:pPr>
      <w:r>
        <w:rPr>
          <w:rFonts w:ascii="Arial" w:cs="Arial" w:eastAsia="Arial" w:hAnsi="Arial"/>
          <w:i/>
          <w:iCs/>
          <w:color w:val="888888"/>
          <w:sz w:val="17"/>
          <w:szCs w:val="17"/>
        </w:rPr>
        <w:t xml:space="preserve">IEEE Transactions on Information Forensics and Security — Confidential Reviewer Report</w:t>
      </w:r>
    </w:p>
    <w:p>
      <w:pPr>
        <w:spacing w:before="0" w:after="0"/>
        <w:jc w:val="center"/>
      </w:pPr>
      <w:r>
        <w:rPr>
          <w:rFonts w:ascii="Arial" w:cs="Arial" w:eastAsia="Arial" w:hAnsi="Arial"/>
          <w:color w:val="888888"/>
          <w:sz w:val="17"/>
          <w:szCs w:val="17"/>
        </w:rPr>
        <w:t xml:space="preserve">All reviewer identities are confidential. Round 3 Review completed: February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2026-02-26T15:27:40.869Z</dcterms:created>
  <dcterms:modified xsi:type="dcterms:W3CDTF">2026-02-26T15:27:40.870Z</dcterms:modified>
</cp:coreProperties>
</file>

<file path=docProps/custom.xml><?xml version="1.0" encoding="utf-8"?>
<Properties xmlns="http://schemas.openxmlformats.org/officeDocument/2006/custom-properties" xmlns:vt="http://schemas.openxmlformats.org/officeDocument/2006/docPropsVTypes"/>
</file>